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500" w:lineRule="exact"/>
        <w:rPr>
          <w:rFonts w:cs="宋体" w:asciiTheme="minorEastAsia" w:hAnsiTheme="minorEastAsia" w:eastAsiaTheme="minorEastAsia"/>
          <w:szCs w:val="21"/>
        </w:rPr>
      </w:pPr>
      <w:r>
        <w:rPr>
          <w:rFonts w:hint="eastAsia" w:cs="宋体" w:asciiTheme="minorEastAsia" w:hAnsiTheme="minorEastAsia" w:eastAsiaTheme="minorEastAsia"/>
          <w:b/>
          <w:bCs/>
          <w:szCs w:val="21"/>
        </w:rPr>
        <w:t>附件一：</w:t>
      </w:r>
    </w:p>
    <w:p>
      <w:pPr>
        <w:pStyle w:val="5"/>
        <w:spacing w:line="500" w:lineRule="exact"/>
        <w:jc w:val="center"/>
        <w:rPr>
          <w:rFonts w:cs="Times New Roman" w:asciiTheme="minorEastAsia" w:hAnsiTheme="minorEastAsia" w:eastAsiaTheme="minorEastAsia"/>
          <w:b/>
          <w:color w:val="auto"/>
          <w:kern w:val="2"/>
          <w:sz w:val="44"/>
          <w:szCs w:val="44"/>
        </w:rPr>
      </w:pPr>
      <w:r>
        <w:rPr>
          <w:rFonts w:hint="eastAsia" w:cs="Times New Roman" w:asciiTheme="minorEastAsia" w:hAnsiTheme="minorEastAsia" w:eastAsiaTheme="minorEastAsia"/>
          <w:b/>
          <w:color w:val="auto"/>
          <w:kern w:val="2"/>
          <w:sz w:val="44"/>
          <w:szCs w:val="44"/>
        </w:rPr>
        <w:t>评标办法</w:t>
      </w:r>
    </w:p>
    <w:p>
      <w:pPr>
        <w:widowControl/>
        <w:spacing w:line="500" w:lineRule="exact"/>
        <w:ind w:firstLine="422" w:firstLineChars="200"/>
        <w:jc w:val="left"/>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本着公平、公正、公开的原则，对各投标人投标文件中的商务标进行综合评分。具体办法如下：（共计100分）</w:t>
      </w:r>
    </w:p>
    <w:p>
      <w:pPr>
        <w:widowControl/>
        <w:spacing w:line="500" w:lineRule="exact"/>
        <w:ind w:firstLine="422" w:firstLineChars="200"/>
        <w:jc w:val="left"/>
      </w:pPr>
      <w:r>
        <w:rPr>
          <w:rFonts w:hint="eastAsia" w:asciiTheme="minorEastAsia" w:hAnsiTheme="minorEastAsia" w:eastAsiaTheme="minorEastAsia" w:cstheme="minorEastAsia"/>
          <w:b/>
          <w:bCs/>
        </w:rPr>
        <w:t>一、</w:t>
      </w:r>
      <w:r>
        <w:rPr>
          <w:rFonts w:hint="eastAsia" w:asciiTheme="minorEastAsia" w:hAnsiTheme="minorEastAsia" w:eastAsiaTheme="minorEastAsia"/>
          <w:b/>
          <w:szCs w:val="21"/>
        </w:rPr>
        <w:t>确定有效标的原则</w:t>
      </w:r>
      <w:r>
        <w:rPr>
          <w:rFonts w:hint="eastAsia" w:asciiTheme="minorEastAsia" w:hAnsiTheme="minorEastAsia" w:eastAsiaTheme="minorEastAsia"/>
          <w:szCs w:val="21"/>
        </w:rPr>
        <w:t>：投标文件必须满足招标文件、招标答疑等有关招标的全部实质性要求</w:t>
      </w:r>
      <w:r>
        <w:rPr>
          <w:rFonts w:hint="eastAsia"/>
        </w:rPr>
        <w:t>。</w:t>
      </w:r>
    </w:p>
    <w:p>
      <w:pPr>
        <w:widowControl/>
        <w:spacing w:line="500" w:lineRule="exact"/>
        <w:ind w:firstLine="420" w:firstLineChars="200"/>
        <w:jc w:val="left"/>
      </w:pPr>
      <w:r>
        <w:rPr>
          <w:rFonts w:hint="eastAsia"/>
        </w:rPr>
        <w:t>☑</w:t>
      </w:r>
      <w:r>
        <w:t>投标人的投标总价或单价均不得高于招标控制价（若投标单位任意一家报价的税率与招标控制价税率不一致时，以税前价比较），否则为无效标处理。</w:t>
      </w:r>
      <w:r>
        <w:br w:type="textWrapping"/>
      </w:r>
      <w:r>
        <w:rPr>
          <w:rFonts w:hint="eastAsia"/>
        </w:rPr>
        <w:t xml:space="preserve">    </w:t>
      </w:r>
      <w:r>
        <w:rPr/>
        <w:sym w:font="Wingdings 2" w:char="F053"/>
      </w:r>
      <w:r>
        <w:t>投标人的投标总价不得高于招标控制价（若投标单位任意一家报价的税率与招标控制价税率不一致时，以税前价比较），否则为无效标处理。</w:t>
      </w:r>
    </w:p>
    <w:p>
      <w:pPr>
        <w:widowControl/>
        <w:spacing w:line="500" w:lineRule="exact"/>
        <w:ind w:firstLine="422" w:firstLineChars="200"/>
        <w:jc w:val="left"/>
        <w:rPr>
          <w:rFonts w:asciiTheme="minorEastAsia" w:hAnsiTheme="minorEastAsia" w:eastAsiaTheme="minorEastAsia" w:cstheme="minorEastAsia"/>
          <w:b/>
          <w:bCs/>
        </w:rPr>
      </w:pPr>
      <w:r>
        <w:rPr>
          <w:rFonts w:hint="eastAsia" w:asciiTheme="minorEastAsia" w:hAnsiTheme="minorEastAsia" w:eastAsiaTheme="minorEastAsia" w:cstheme="minorEastAsia"/>
          <w:b/>
          <w:bCs/>
        </w:rPr>
        <w:t>二、评审细则（一）投标报价：(100分）</w:t>
      </w:r>
    </w:p>
    <w:p>
      <w:pPr>
        <w:widowControl/>
        <w:spacing w:line="500" w:lineRule="exact"/>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第一步：确定评标基准价</w:t>
      </w:r>
    </w:p>
    <w:p>
      <w:pPr>
        <w:widowControl/>
        <w:spacing w:line="500" w:lineRule="exact"/>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以有效投标文件的评标价算术平均值为A，若有效投标文件≥7家时，去掉其中的一个最高价和一个最低价后取算术平均值为A；若有效投标文件≥10家时，去掉其中的二个最高价和二个最低价后取算术平均值为A。则：评标基准价C=A×K，K值在开标时由投标人代表随机抽取确定，K值的取值范围为95%、96%、97%、98%。C值一经确定，在后续的评审中出现的任何情形都将不改变C值的结果。</w:t>
      </w:r>
    </w:p>
    <w:p>
      <w:pPr>
        <w:widowControl/>
        <w:spacing w:line="500" w:lineRule="exact"/>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第二步：以经评审的评标基准价得最高分，并以此为基准，确定其他投标人的价格得分。评标价与评标基准价比对，每偏离1%，减扣一定的分值（0.6、0.7、0.8分），偏离不足1%的，按插入法计算得分。评分计算过程中的偏离率和分值计算结果均保留两位小数，第三位四舍五入。</w:t>
      </w:r>
    </w:p>
    <w:p>
      <w:pPr>
        <w:widowControl/>
        <w:spacing w:line="500" w:lineRule="exact"/>
        <w:ind w:firstLine="422" w:firstLineChars="200"/>
        <w:jc w:val="left"/>
        <w:rPr>
          <w:rFonts w:asciiTheme="minorEastAsia" w:hAnsiTheme="minorEastAsia" w:eastAsiaTheme="minorEastAsia" w:cstheme="minorEastAsia"/>
          <w:b/>
          <w:bCs/>
        </w:rPr>
      </w:pPr>
      <w:r>
        <w:rPr>
          <w:rFonts w:hint="eastAsia" w:asciiTheme="minorEastAsia" w:hAnsiTheme="minorEastAsia" w:eastAsiaTheme="minorEastAsia" w:cstheme="minorEastAsia"/>
          <w:b/>
          <w:bCs/>
        </w:rPr>
        <w:t>注：1.K值、偏离扣分值在开标时由投标人代表随机抽取确定。</w:t>
      </w:r>
    </w:p>
    <w:p>
      <w:pPr>
        <w:widowControl/>
        <w:spacing w:line="500" w:lineRule="exact"/>
        <w:ind w:firstLine="422" w:firstLineChars="200"/>
        <w:jc w:val="left"/>
        <w:rPr>
          <w:rFonts w:asciiTheme="minorEastAsia" w:hAnsiTheme="minorEastAsia" w:eastAsiaTheme="minorEastAsia" w:cstheme="minorEastAsia"/>
          <w:b/>
          <w:bCs/>
        </w:rPr>
      </w:pPr>
      <w:r>
        <w:rPr>
          <w:rFonts w:hint="eastAsia" w:asciiTheme="minorEastAsia" w:hAnsiTheme="minorEastAsia" w:eastAsiaTheme="minorEastAsia" w:cstheme="minorEastAsia"/>
          <w:b/>
          <w:bCs/>
        </w:rPr>
        <w:t>2.偏离扣分值仅抽取一次，正负偏离扣分值相同。</w:t>
      </w:r>
    </w:p>
    <w:p>
      <w:pPr>
        <w:widowControl/>
        <w:spacing w:line="500" w:lineRule="exact"/>
        <w:ind w:firstLine="422" w:firstLineChars="200"/>
        <w:jc w:val="left"/>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三、评标程序：</w:t>
      </w:r>
    </w:p>
    <w:p>
      <w:pPr>
        <w:widowControl/>
        <w:spacing w:line="500" w:lineRule="exact"/>
        <w:ind w:firstLine="422" w:firstLineChars="200"/>
        <w:jc w:val="left"/>
        <w:rPr>
          <w:rFonts w:asciiTheme="minorEastAsia" w:hAnsiTheme="minorEastAsia" w:eastAsiaTheme="minorEastAsia" w:cstheme="minorEastAsia"/>
          <w:b/>
          <w:bCs/>
        </w:rPr>
      </w:pPr>
      <w:r>
        <w:rPr>
          <w:rFonts w:hint="eastAsia" w:asciiTheme="minorEastAsia" w:hAnsiTheme="minorEastAsia" w:eastAsiaTheme="minorEastAsia" w:cstheme="minorEastAsia"/>
          <w:b/>
          <w:bCs/>
        </w:rPr>
        <w:t>1.符合性评审（资格审查）；2.清标；3.成本价评审；4.经济标评审；5.定标。</w:t>
      </w:r>
    </w:p>
    <w:p>
      <w:pPr>
        <w:widowControl/>
        <w:spacing w:line="500" w:lineRule="exact"/>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注意事项：</w:t>
      </w:r>
    </w:p>
    <w:p>
      <w:pPr>
        <w:widowControl/>
        <w:spacing w:line="500" w:lineRule="exact"/>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 xml:space="preserve">1.一旦发现中标候选单位的投标项目负责人已有在建或已另有工程中标的，则取消其中标候选人资格，同时按相关法律、法规处罚。 </w:t>
      </w:r>
    </w:p>
    <w:p>
      <w:pPr>
        <w:widowControl/>
        <w:spacing w:line="500" w:lineRule="exact"/>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 xml:space="preserve">2.一旦发现中标单位存在非法转包、转让、挂靠等行为的， 将依法进行处理 ，给招标人造成损失的，依法承担赔偿责任。 </w:t>
      </w:r>
    </w:p>
    <w:p>
      <w:pPr>
        <w:widowControl/>
        <w:spacing w:line="500" w:lineRule="exact"/>
        <w:ind w:firstLine="420" w:firstLineChars="200"/>
        <w:jc w:val="left"/>
        <w:rPr>
          <w:rFonts w:asciiTheme="minorEastAsia" w:hAnsiTheme="minorEastAsia" w:eastAsiaTheme="minorEastAsia"/>
          <w:szCs w:val="21"/>
        </w:rPr>
      </w:pPr>
      <w:r>
        <w:rPr>
          <w:rFonts w:hint="eastAsia" w:asciiTheme="minorEastAsia" w:hAnsiTheme="minorEastAsia" w:eastAsiaTheme="minorEastAsia" w:cstheme="minorEastAsia"/>
        </w:rPr>
        <w:t>3.本工程招标公告中的评标办法与招标文件中的评标办法不一致时，以招标公告中的评标办法为准</w:t>
      </w:r>
      <w:r>
        <w:rPr>
          <w:rFonts w:hint="eastAsia" w:asciiTheme="minorEastAsia" w:hAnsiTheme="minorEastAsia" w:eastAsiaTheme="minorEastAsia"/>
          <w:szCs w:val="21"/>
        </w:rPr>
        <w:t>。</w:t>
      </w:r>
    </w:p>
    <w:p>
      <w:pPr>
        <w:pStyle w:val="6"/>
        <w:spacing w:line="500" w:lineRule="exact"/>
        <w:ind w:firstLine="422" w:firstLineChars="200"/>
        <w:rPr>
          <w:rFonts w:asciiTheme="minorEastAsia" w:hAnsiTheme="minorEastAsia" w:eastAsiaTheme="minorEastAsia"/>
          <w:b/>
          <w:kern w:val="2"/>
          <w:sz w:val="21"/>
          <w:szCs w:val="21"/>
        </w:rPr>
      </w:pPr>
    </w:p>
    <w:p>
      <w:pPr>
        <w:autoSpaceDE w:val="0"/>
        <w:autoSpaceDN w:val="0"/>
        <w:spacing w:line="500" w:lineRule="exact"/>
        <w:rPr>
          <w:rFonts w:asciiTheme="minorEastAsia" w:hAnsiTheme="minorEastAsia" w:eastAsiaTheme="minorEastAsia"/>
          <w:szCs w:val="21"/>
        </w:rPr>
      </w:pPr>
    </w:p>
    <w:p>
      <w:pPr>
        <w:widowControl/>
        <w:spacing w:line="500" w:lineRule="exact"/>
        <w:jc w:val="left"/>
        <w:rPr>
          <w:rFonts w:asciiTheme="minorEastAsia" w:hAnsiTheme="minorEastAsia" w:eastAsiaTheme="minorEastAsia"/>
          <w:szCs w:val="21"/>
        </w:rPr>
      </w:pPr>
      <w:r>
        <w:rPr>
          <w:rFonts w:asciiTheme="minorEastAsia" w:hAnsiTheme="minorEastAsia" w:eastAsiaTheme="minorEastAsia"/>
          <w:szCs w:val="21"/>
        </w:rPr>
        <w:br w:type="page"/>
      </w:r>
    </w:p>
    <w:p>
      <w:pPr>
        <w:autoSpaceDE w:val="0"/>
        <w:autoSpaceDN w:val="0"/>
        <w:spacing w:line="500" w:lineRule="exact"/>
        <w:rPr>
          <w:rFonts w:cs="宋体" w:asciiTheme="minorEastAsia" w:hAnsiTheme="minorEastAsia" w:eastAsiaTheme="minorEastAsia"/>
          <w:szCs w:val="21"/>
        </w:rPr>
      </w:pPr>
      <w:bookmarkStart w:id="0" w:name="OLE_LINK4"/>
      <w:bookmarkStart w:id="1" w:name="OLE_LINK3"/>
      <w:r>
        <w:rPr>
          <w:rFonts w:hint="eastAsia" w:cs="宋体" w:asciiTheme="minorEastAsia" w:hAnsiTheme="minorEastAsia" w:eastAsiaTheme="minorEastAsia"/>
          <w:b/>
          <w:bCs/>
          <w:szCs w:val="21"/>
        </w:rPr>
        <w:t>附件二：</w:t>
      </w:r>
    </w:p>
    <w:p>
      <w:pPr>
        <w:pStyle w:val="7"/>
        <w:spacing w:line="500" w:lineRule="exact"/>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投标保证金说明（线下缴纳）</w:t>
      </w:r>
    </w:p>
    <w:p>
      <w:pPr>
        <w:spacing w:line="500" w:lineRule="exact"/>
        <w:ind w:firstLine="420" w:firstLineChars="200"/>
        <w:rPr>
          <w:rFonts w:asciiTheme="minorEastAsia" w:hAnsiTheme="minorEastAsia" w:eastAsiaTheme="minorEastAsia"/>
          <w:szCs w:val="21"/>
        </w:rPr>
      </w:pPr>
    </w:p>
    <w:p>
      <w:pPr>
        <w:spacing w:line="50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1、投标单位应按规定的金额递交投标保证金。投标单位应充分考虑投标保证金在途时间，确保投标</w:t>
      </w:r>
      <w:r>
        <w:rPr>
          <w:rFonts w:hint="eastAsia" w:asciiTheme="minorEastAsia" w:hAnsiTheme="minorEastAsia" w:eastAsiaTheme="minorEastAsia"/>
          <w:color w:val="auto"/>
          <w:szCs w:val="21"/>
        </w:rPr>
        <w:t>保证金在</w:t>
      </w:r>
      <w:r>
        <w:rPr>
          <w:rFonts w:hint="eastAsia" w:asciiTheme="minorEastAsia" w:hAnsiTheme="minorEastAsia" w:eastAsiaTheme="minorEastAsia" w:cstheme="minorEastAsia"/>
          <w:color w:val="auto"/>
        </w:rPr>
        <w:t>2023年</w:t>
      </w:r>
      <w:r>
        <w:rPr>
          <w:rFonts w:hint="eastAsia" w:asciiTheme="minorEastAsia" w:hAnsiTheme="minorEastAsia" w:eastAsiaTheme="minorEastAsia" w:cstheme="minorEastAsia"/>
          <w:color w:val="auto"/>
          <w:lang w:val="en-US" w:eastAsia="zh-CN"/>
        </w:rPr>
        <w:t>6</w:t>
      </w:r>
      <w:r>
        <w:rPr>
          <w:rFonts w:hint="eastAsia" w:asciiTheme="minorEastAsia" w:hAnsiTheme="minorEastAsia" w:eastAsiaTheme="minorEastAsia" w:cstheme="minorEastAsia"/>
          <w:color w:val="auto"/>
        </w:rPr>
        <w:t>月</w:t>
      </w:r>
      <w:r>
        <w:rPr>
          <w:rFonts w:hint="eastAsia" w:asciiTheme="minorEastAsia" w:hAnsiTheme="minorEastAsia" w:eastAsiaTheme="minorEastAsia" w:cstheme="minorEastAsia"/>
          <w:color w:val="auto"/>
          <w:lang w:val="en-US" w:eastAsia="zh-CN"/>
        </w:rPr>
        <w:t>21</w:t>
      </w:r>
      <w:r>
        <w:rPr>
          <w:rFonts w:hint="eastAsia" w:asciiTheme="minorEastAsia" w:hAnsiTheme="minorEastAsia" w:eastAsiaTheme="minorEastAsia" w:cstheme="minorEastAsia"/>
          <w:color w:val="auto"/>
        </w:rPr>
        <w:t>日17:00</w:t>
      </w:r>
      <w:r>
        <w:rPr>
          <w:rFonts w:hint="eastAsia" w:asciiTheme="minorEastAsia" w:hAnsiTheme="minorEastAsia" w:eastAsiaTheme="minorEastAsia"/>
          <w:color w:val="auto"/>
          <w:szCs w:val="21"/>
        </w:rPr>
        <w:t>前到达投标保证金专用账户。如投标保证金在</w:t>
      </w:r>
      <w:r>
        <w:rPr>
          <w:rFonts w:hint="eastAsia" w:asciiTheme="minorEastAsia" w:hAnsiTheme="minorEastAsia" w:eastAsiaTheme="minorEastAsia" w:cstheme="minorEastAsia"/>
          <w:color w:val="auto"/>
        </w:rPr>
        <w:t>2023年</w:t>
      </w:r>
      <w:r>
        <w:rPr>
          <w:rFonts w:hint="eastAsia" w:asciiTheme="minorEastAsia" w:hAnsiTheme="minorEastAsia" w:eastAsiaTheme="minorEastAsia" w:cstheme="minorEastAsia"/>
          <w:color w:val="auto"/>
          <w:lang w:val="en-US" w:eastAsia="zh-CN"/>
        </w:rPr>
        <w:t>6</w:t>
      </w:r>
      <w:r>
        <w:rPr>
          <w:rFonts w:hint="eastAsia" w:asciiTheme="minorEastAsia" w:hAnsiTheme="minorEastAsia" w:eastAsiaTheme="minorEastAsia" w:cstheme="minorEastAsia"/>
          <w:color w:val="auto"/>
        </w:rPr>
        <w:t>月</w:t>
      </w:r>
      <w:r>
        <w:rPr>
          <w:rFonts w:hint="eastAsia" w:asciiTheme="minorEastAsia" w:hAnsiTheme="minorEastAsia" w:eastAsiaTheme="minorEastAsia" w:cstheme="minorEastAsia"/>
          <w:color w:val="auto"/>
          <w:lang w:val="en-US" w:eastAsia="zh-CN"/>
        </w:rPr>
        <w:t>21</w:t>
      </w:r>
      <w:r>
        <w:rPr>
          <w:rFonts w:hint="eastAsia" w:asciiTheme="minorEastAsia" w:hAnsiTheme="minorEastAsia" w:eastAsiaTheme="minorEastAsia" w:cstheme="minorEastAsia"/>
          <w:color w:val="auto"/>
        </w:rPr>
        <w:t>日17:00</w:t>
      </w:r>
      <w:r>
        <w:rPr>
          <w:rFonts w:hint="eastAsia" w:asciiTheme="minorEastAsia" w:hAnsiTheme="minorEastAsia" w:eastAsiaTheme="minorEastAsia"/>
          <w:szCs w:val="21"/>
        </w:rPr>
        <w:t>前未到账，作未缴纳投标保证金处理。</w:t>
      </w:r>
    </w:p>
    <w:p>
      <w:pPr>
        <w:widowControl/>
        <w:spacing w:line="500" w:lineRule="exact"/>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2、投标保证金专用账户（请勿汇错，否则后果自负）</w:t>
      </w:r>
    </w:p>
    <w:p>
      <w:pPr>
        <w:widowControl/>
        <w:spacing w:line="500" w:lineRule="exact"/>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收款单位：常州黑牡丹建设投资有限公司</w:t>
      </w:r>
    </w:p>
    <w:p>
      <w:pPr>
        <w:widowControl/>
        <w:spacing w:line="500" w:lineRule="exact"/>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开户银行：建行常州市新北支行</w:t>
      </w:r>
    </w:p>
    <w:p>
      <w:pPr>
        <w:spacing w:line="50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银行账号：32001628436051297508</w:t>
      </w:r>
    </w:p>
    <w:p>
      <w:pPr>
        <w:spacing w:line="50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3、投标保证金金额：人民币</w:t>
      </w:r>
      <w:r>
        <w:rPr>
          <w:rFonts w:hint="eastAsia" w:asciiTheme="minorEastAsia" w:hAnsiTheme="minorEastAsia" w:eastAsiaTheme="minorEastAsia"/>
          <w:color w:val="auto"/>
          <w:szCs w:val="21"/>
          <w:lang w:val="en-US" w:eastAsia="zh-CN"/>
        </w:rPr>
        <w:t>陆万叁仟</w:t>
      </w:r>
      <w:r>
        <w:rPr>
          <w:rFonts w:hint="eastAsia" w:asciiTheme="minorEastAsia" w:hAnsiTheme="minorEastAsia" w:eastAsiaTheme="minorEastAsia"/>
          <w:szCs w:val="21"/>
        </w:rPr>
        <w:t>元整</w:t>
      </w:r>
    </w:p>
    <w:p>
      <w:pPr>
        <w:widowControl/>
        <w:spacing w:line="500" w:lineRule="exact"/>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4、</w:t>
      </w:r>
      <w:r>
        <w:rPr>
          <w:rFonts w:asciiTheme="minorEastAsia" w:hAnsiTheme="minorEastAsia" w:eastAsiaTheme="minorEastAsia"/>
          <w:szCs w:val="21"/>
        </w:rPr>
        <w:t>投标保证金缴纳方式</w:t>
      </w:r>
      <w:r>
        <w:rPr>
          <w:rFonts w:hint="eastAsia" w:asciiTheme="minorEastAsia" w:hAnsiTheme="minorEastAsia" w:eastAsiaTheme="minorEastAsia"/>
          <w:szCs w:val="21"/>
        </w:rPr>
        <w:t>（备注项目名称）</w:t>
      </w:r>
    </w:p>
    <w:p>
      <w:pPr>
        <w:widowControl/>
        <w:spacing w:line="500" w:lineRule="exact"/>
        <w:ind w:firstLine="420" w:firstLineChars="200"/>
        <w:jc w:val="left"/>
        <w:rPr>
          <w:rFonts w:cs="Arial" w:asciiTheme="minorEastAsia" w:hAnsiTheme="minorEastAsia" w:eastAsiaTheme="minorEastAsia"/>
          <w:kern w:val="0"/>
          <w:szCs w:val="21"/>
        </w:rPr>
      </w:pPr>
      <w:r>
        <w:rPr>
          <w:rFonts w:hint="eastAsia"/>
        </w:rPr>
        <w:t>☑</w:t>
      </w:r>
      <w:r>
        <w:rPr>
          <w:rFonts w:cs="Arial" w:asciiTheme="minorEastAsia" w:hAnsiTheme="minorEastAsia" w:eastAsiaTheme="minorEastAsia"/>
          <w:kern w:val="0"/>
          <w:szCs w:val="21"/>
        </w:rPr>
        <w:t>投标单位</w:t>
      </w:r>
      <w:r>
        <w:rPr>
          <w:rFonts w:hint="eastAsia" w:cs="Arial" w:asciiTheme="minorEastAsia" w:hAnsiTheme="minorEastAsia" w:eastAsiaTheme="minorEastAsia"/>
          <w:kern w:val="0"/>
          <w:szCs w:val="21"/>
        </w:rPr>
        <w:t>采用转账支票、电汇、网上银行等方式</w:t>
      </w:r>
      <w:r>
        <w:rPr>
          <w:rFonts w:cs="Arial" w:asciiTheme="minorEastAsia" w:hAnsiTheme="minorEastAsia" w:eastAsiaTheme="minorEastAsia"/>
          <w:kern w:val="0"/>
          <w:szCs w:val="21"/>
        </w:rPr>
        <w:t>将保证金</w:t>
      </w:r>
      <w:r>
        <w:rPr>
          <w:rFonts w:hint="eastAsia" w:cs="Arial" w:asciiTheme="minorEastAsia" w:hAnsiTheme="minorEastAsia" w:eastAsiaTheme="minorEastAsia"/>
          <w:kern w:val="0"/>
          <w:szCs w:val="21"/>
        </w:rPr>
        <w:t>从基本账户缴至“投标保证金专用账户”</w:t>
      </w:r>
      <w:r>
        <w:rPr>
          <w:rFonts w:cs="Arial" w:asciiTheme="minorEastAsia" w:hAnsiTheme="minorEastAsia" w:eastAsiaTheme="minorEastAsia"/>
          <w:kern w:val="0"/>
          <w:szCs w:val="21"/>
        </w:rPr>
        <w:t>，然后凭银行进</w:t>
      </w:r>
      <w:r>
        <w:rPr>
          <w:rFonts w:hint="eastAsia" w:cs="Arial" w:asciiTheme="minorEastAsia" w:hAnsiTheme="minorEastAsia" w:eastAsiaTheme="minorEastAsia"/>
          <w:kern w:val="0"/>
          <w:szCs w:val="21"/>
        </w:rPr>
        <w:t>账</w:t>
      </w:r>
      <w:r>
        <w:rPr>
          <w:rFonts w:cs="Arial" w:asciiTheme="minorEastAsia" w:hAnsiTheme="minorEastAsia" w:eastAsiaTheme="minorEastAsia"/>
          <w:kern w:val="0"/>
          <w:szCs w:val="21"/>
        </w:rPr>
        <w:t>单</w:t>
      </w:r>
      <w:r>
        <w:rPr>
          <w:rFonts w:hint="eastAsia" w:cs="Arial" w:asciiTheme="minorEastAsia" w:hAnsiTheme="minorEastAsia" w:eastAsiaTheme="minorEastAsia"/>
          <w:kern w:val="0"/>
          <w:szCs w:val="21"/>
        </w:rPr>
        <w:t>至</w:t>
      </w:r>
      <w:r>
        <w:rPr>
          <w:rFonts w:cs="Arial" w:asciiTheme="minorEastAsia" w:hAnsiTheme="minorEastAsia" w:eastAsiaTheme="minorEastAsia"/>
          <w:kern w:val="0"/>
          <w:szCs w:val="21"/>
        </w:rPr>
        <w:t>常州市新北区新桥商业</w:t>
      </w:r>
      <w:r>
        <w:t>广场</w:t>
      </w:r>
      <w:r>
        <w:rPr>
          <w:rFonts w:cs="Arial" w:asciiTheme="minorEastAsia" w:hAnsiTheme="minorEastAsia" w:eastAsiaTheme="minorEastAsia"/>
          <w:kern w:val="0"/>
          <w:szCs w:val="21"/>
        </w:rPr>
        <w:t>1栋珑庭</w:t>
      </w:r>
      <w:r>
        <w:rPr>
          <w:rFonts w:hint="eastAsia" w:cs="Arial" w:asciiTheme="minorEastAsia" w:hAnsiTheme="minorEastAsia" w:eastAsiaTheme="minorEastAsia"/>
          <w:kern w:val="0"/>
          <w:szCs w:val="21"/>
        </w:rPr>
        <w:t>2016室财务中心开具投标保证金收据</w:t>
      </w:r>
      <w:r>
        <w:rPr>
          <w:rFonts w:cs="Arial" w:asciiTheme="minorEastAsia" w:hAnsiTheme="minorEastAsia" w:eastAsiaTheme="minorEastAsia"/>
          <w:kern w:val="0"/>
          <w:szCs w:val="21"/>
        </w:rPr>
        <w:t>。</w:t>
      </w:r>
    </w:p>
    <w:p>
      <w:pPr>
        <w:widowControl/>
        <w:spacing w:line="500" w:lineRule="exact"/>
        <w:ind w:firstLine="420" w:firstLineChars="200"/>
        <w:jc w:val="left"/>
        <w:rPr>
          <w:rFonts w:cs="Arial" w:asciiTheme="minorEastAsia" w:hAnsiTheme="minorEastAsia" w:eastAsiaTheme="minorEastAsia"/>
          <w:kern w:val="0"/>
          <w:szCs w:val="21"/>
        </w:rPr>
      </w:pPr>
      <w:bookmarkStart w:id="2" w:name="OLE_LINK5"/>
      <w:bookmarkStart w:id="3" w:name="OLE_LINK6"/>
      <w:r>
        <w:rPr/>
        <w:sym w:font="Wingdings 2" w:char="F053"/>
      </w:r>
      <w:r>
        <w:rPr>
          <w:rFonts w:cs="Arial" w:asciiTheme="minorEastAsia" w:hAnsiTheme="minorEastAsia" w:eastAsiaTheme="minorEastAsia"/>
          <w:kern w:val="0"/>
          <w:szCs w:val="21"/>
        </w:rPr>
        <w:t>投标单位</w:t>
      </w:r>
      <w:r>
        <w:rPr>
          <w:rFonts w:hint="eastAsia" w:cs="Arial" w:asciiTheme="minorEastAsia" w:hAnsiTheme="minorEastAsia" w:eastAsiaTheme="minorEastAsia"/>
          <w:kern w:val="0"/>
          <w:szCs w:val="21"/>
        </w:rPr>
        <w:t>采用银行保函方式提交</w:t>
      </w:r>
      <w:bookmarkEnd w:id="2"/>
      <w:bookmarkEnd w:id="3"/>
      <w:r>
        <w:rPr>
          <w:rFonts w:hint="eastAsia" w:cs="Arial" w:asciiTheme="minorEastAsia" w:hAnsiTheme="minorEastAsia" w:eastAsiaTheme="minorEastAsia"/>
          <w:kern w:val="0"/>
          <w:szCs w:val="21"/>
        </w:rPr>
        <w:t>。</w:t>
      </w:r>
    </w:p>
    <w:p>
      <w:pPr>
        <w:widowControl/>
        <w:spacing w:line="500" w:lineRule="exact"/>
        <w:ind w:firstLine="420" w:firstLineChars="200"/>
        <w:jc w:val="left"/>
        <w:rPr>
          <w:rFonts w:asciiTheme="minorEastAsia" w:hAnsiTheme="minorEastAsia" w:eastAsiaTheme="minorEastAsia"/>
          <w:szCs w:val="21"/>
        </w:rPr>
      </w:pPr>
      <w:r>
        <w:rPr/>
        <w:sym w:font="Wingdings 2" w:char="F053"/>
      </w:r>
      <w:r>
        <w:rPr>
          <w:rFonts w:cs="Arial" w:asciiTheme="minorEastAsia" w:hAnsiTheme="minorEastAsia" w:eastAsiaTheme="minorEastAsia"/>
          <w:kern w:val="0"/>
          <w:szCs w:val="21"/>
        </w:rPr>
        <w:t>投标单位</w:t>
      </w:r>
      <w:r>
        <w:rPr>
          <w:rFonts w:hint="eastAsia" w:cs="Arial" w:asciiTheme="minorEastAsia" w:hAnsiTheme="minorEastAsia" w:eastAsiaTheme="minorEastAsia"/>
          <w:kern w:val="0"/>
          <w:szCs w:val="21"/>
        </w:rPr>
        <w:t>采用</w:t>
      </w:r>
      <w:r>
        <w:rPr>
          <w:rFonts w:hint="eastAsia" w:ascii="宋体" w:hAnsi="宋体" w:cs="宋体"/>
          <w:szCs w:val="21"/>
        </w:rPr>
        <w:t>经相关部门认定的有资质的</w:t>
      </w:r>
      <w:r>
        <w:rPr>
          <w:rFonts w:hint="eastAsia" w:cs="Arial" w:asciiTheme="minorEastAsia" w:hAnsiTheme="minorEastAsia" w:eastAsiaTheme="minorEastAsia"/>
          <w:kern w:val="0"/>
          <w:szCs w:val="21"/>
        </w:rPr>
        <w:t>专业担保公司（</w:t>
      </w:r>
      <w:r>
        <w:rPr>
          <w:rFonts w:hint="eastAsia" w:ascii="宋体" w:hAnsi="宋体" w:cs="宋体"/>
          <w:szCs w:val="21"/>
        </w:rPr>
        <w:t>专业担保公司名单网址详见：</w:t>
      </w:r>
      <w:r>
        <w:rPr>
          <w:rFonts w:ascii="宋体" w:hAnsi="宋体" w:cs="宋体"/>
          <w:szCs w:val="21"/>
        </w:rPr>
        <w:t>http://www.czgcjy.com/czztb/InfoDetail/Default.aspx?InfoID=bc194d59-5ce4-4cfa-8a04-da1195335520&amp;CategoryNum=007</w:t>
      </w:r>
      <w:r>
        <w:rPr>
          <w:rFonts w:hint="eastAsia" w:ascii="宋体" w:hAnsi="宋体" w:cs="宋体"/>
          <w:szCs w:val="21"/>
        </w:rPr>
        <w:t>）</w:t>
      </w:r>
      <w:r>
        <w:rPr>
          <w:rFonts w:hint="eastAsia" w:cs="Arial" w:asciiTheme="minorEastAsia" w:hAnsiTheme="minorEastAsia" w:eastAsiaTheme="minorEastAsia"/>
          <w:kern w:val="0"/>
          <w:szCs w:val="21"/>
        </w:rPr>
        <w:t>投标保函方式提交。</w:t>
      </w:r>
    </w:p>
    <w:p>
      <w:pPr>
        <w:widowControl/>
        <w:spacing w:line="500" w:lineRule="exact"/>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5、</w:t>
      </w:r>
      <w:r>
        <w:rPr>
          <w:rFonts w:asciiTheme="minorEastAsia" w:hAnsiTheme="minorEastAsia" w:eastAsiaTheme="minorEastAsia"/>
          <w:szCs w:val="21"/>
        </w:rPr>
        <w:t>缴纳保证金注意事项：必须在</w:t>
      </w:r>
      <w:r>
        <w:rPr>
          <w:rFonts w:hint="eastAsia" w:asciiTheme="minorEastAsia" w:hAnsiTheme="minorEastAsia" w:eastAsiaTheme="minorEastAsia"/>
          <w:szCs w:val="21"/>
        </w:rPr>
        <w:t>保证金到账</w:t>
      </w:r>
      <w:r>
        <w:rPr>
          <w:rFonts w:asciiTheme="minorEastAsia" w:hAnsiTheme="minorEastAsia" w:eastAsiaTheme="minorEastAsia"/>
          <w:szCs w:val="21"/>
        </w:rPr>
        <w:t>截止时间前完成缴纳。</w:t>
      </w:r>
    </w:p>
    <w:p>
      <w:pPr>
        <w:widowControl/>
        <w:spacing w:line="500" w:lineRule="exact"/>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6、</w:t>
      </w:r>
      <w:r>
        <w:rPr>
          <w:rFonts w:asciiTheme="minorEastAsia" w:hAnsiTheme="minorEastAsia" w:eastAsiaTheme="minorEastAsia"/>
          <w:szCs w:val="21"/>
        </w:rPr>
        <w:t>投标保证金的退还时间：</w:t>
      </w:r>
    </w:p>
    <w:p>
      <w:pPr>
        <w:widowControl/>
        <w:spacing w:line="500" w:lineRule="exact"/>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中标人的投标保证金在签订合同后3个工作日后凭收据退还；</w:t>
      </w:r>
    </w:p>
    <w:p>
      <w:pPr>
        <w:widowControl/>
        <w:spacing w:line="500" w:lineRule="exact"/>
        <w:ind w:firstLine="420" w:firstLineChars="200"/>
        <w:jc w:val="left"/>
        <w:rPr>
          <w:rFonts w:asciiTheme="minorEastAsia" w:hAnsiTheme="minorEastAsia" w:eastAsiaTheme="minorEastAsia"/>
          <w:b/>
          <w:szCs w:val="21"/>
        </w:rPr>
      </w:pPr>
      <w:r>
        <w:rPr>
          <w:rFonts w:hint="eastAsia" w:asciiTheme="minorEastAsia" w:hAnsiTheme="minorEastAsia" w:eastAsiaTheme="minorEastAsia"/>
          <w:szCs w:val="21"/>
        </w:rPr>
        <w:t>未中标人的投标保证金在中标公示结束3个工作日后凭收据退还。</w:t>
      </w:r>
      <w:bookmarkEnd w:id="0"/>
      <w:bookmarkEnd w:id="1"/>
      <w:r>
        <w:rPr>
          <w:rFonts w:asciiTheme="minorEastAsia" w:hAnsiTheme="minorEastAsia" w:eastAsiaTheme="minorEastAsia"/>
          <w:szCs w:val="21"/>
        </w:rPr>
        <w:br w:type="page"/>
      </w:r>
      <w:r>
        <w:rPr>
          <w:rFonts w:hint="eastAsia" w:asciiTheme="minorEastAsia" w:hAnsiTheme="minorEastAsia" w:eastAsiaTheme="minorEastAsia"/>
          <w:b/>
          <w:szCs w:val="21"/>
        </w:rPr>
        <w:t>附件</w:t>
      </w:r>
      <w:r>
        <w:rPr>
          <w:rFonts w:asciiTheme="minorEastAsia" w:hAnsiTheme="minorEastAsia" w:eastAsiaTheme="minorEastAsia"/>
          <w:b/>
          <w:szCs w:val="21"/>
        </w:rPr>
        <w:t>三</w:t>
      </w:r>
    </w:p>
    <w:p>
      <w:pPr>
        <w:pStyle w:val="8"/>
        <w:spacing w:line="300" w:lineRule="auto"/>
        <w:ind w:right="-227" w:rightChars="-108"/>
        <w:jc w:val="center"/>
        <w:rPr>
          <w:rFonts w:ascii="宋体" w:hAnsi="宋体" w:cs="宋体"/>
          <w:sz w:val="36"/>
          <w:szCs w:val="36"/>
        </w:rPr>
      </w:pPr>
      <w:r>
        <w:rPr>
          <w:rFonts w:hint="eastAsia" w:ascii="宋体" w:hAnsi="宋体" w:cs="宋体"/>
          <w:sz w:val="36"/>
          <w:szCs w:val="36"/>
        </w:rPr>
        <w:t>投标报名表</w:t>
      </w:r>
    </w:p>
    <w:tbl>
      <w:tblPr>
        <w:tblStyle w:val="3"/>
        <w:tblW w:w="9524" w:type="dxa"/>
        <w:tblInd w:w="0" w:type="dxa"/>
        <w:tblLayout w:type="fixed"/>
        <w:tblCellMar>
          <w:top w:w="0" w:type="dxa"/>
          <w:left w:w="0" w:type="dxa"/>
          <w:bottom w:w="0" w:type="dxa"/>
          <w:right w:w="0" w:type="dxa"/>
        </w:tblCellMar>
      </w:tblPr>
      <w:tblGrid>
        <w:gridCol w:w="2975"/>
        <w:gridCol w:w="6549"/>
      </w:tblGrid>
      <w:tr>
        <w:tblPrEx>
          <w:tblCellMar>
            <w:top w:w="0" w:type="dxa"/>
            <w:left w:w="0" w:type="dxa"/>
            <w:bottom w:w="0" w:type="dxa"/>
            <w:right w:w="0" w:type="dxa"/>
          </w:tblCellMar>
        </w:tblPrEx>
        <w:trPr>
          <w:trHeight w:val="223" w:hRule="atLeast"/>
        </w:trPr>
        <w:tc>
          <w:tcPr>
            <w:tcW w:w="2975" w:type="dxa"/>
            <w:tcBorders>
              <w:top w:val="single" w:color="auto" w:sz="12"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招标单位</w:t>
            </w:r>
          </w:p>
        </w:tc>
        <w:tc>
          <w:tcPr>
            <w:tcW w:w="6549" w:type="dxa"/>
            <w:tcBorders>
              <w:top w:val="single" w:color="auto" w:sz="12"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257"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项目名称</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437"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项目地址</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134" w:hRule="atLeast"/>
        </w:trPr>
        <w:tc>
          <w:tcPr>
            <w:tcW w:w="9524" w:type="dxa"/>
            <w:gridSpan w:val="2"/>
            <w:tcBorders>
              <w:top w:val="single" w:color="auto" w:sz="8" w:space="0"/>
              <w:left w:val="single" w:color="auto" w:sz="12" w:space="0"/>
              <w:bottom w:val="single" w:color="auto" w:sz="8" w:space="0"/>
              <w:right w:val="single" w:color="auto" w:sz="12"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投标单位报名情况</w:t>
            </w:r>
          </w:p>
        </w:tc>
      </w:tr>
      <w:tr>
        <w:tblPrEx>
          <w:tblCellMar>
            <w:top w:w="0" w:type="dxa"/>
            <w:left w:w="0" w:type="dxa"/>
            <w:bottom w:w="0" w:type="dxa"/>
            <w:right w:w="0" w:type="dxa"/>
          </w:tblCellMar>
        </w:tblPrEx>
        <w:trPr>
          <w:trHeight w:val="498"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投标单位（盖章）</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123"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资质等级</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914"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法定代表人</w:t>
            </w:r>
          </w:p>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（盖章或签字）</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334"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投标项目负责人</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117"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授权委托人</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399"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联系电话</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391"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ind w:firstLine="560" w:firstLineChars="200"/>
              <w:rPr>
                <w:rFonts w:ascii="宋体" w:hAnsi="宋体" w:cs="宋体"/>
                <w:color w:val="000000"/>
                <w:kern w:val="0"/>
                <w:sz w:val="28"/>
                <w:szCs w:val="28"/>
              </w:rPr>
            </w:pPr>
            <w:r>
              <w:rPr>
                <w:rFonts w:hint="eastAsia" w:ascii="宋体" w:hAnsi="宋体" w:cs="宋体"/>
                <w:color w:val="000000"/>
                <w:kern w:val="0"/>
                <w:sz w:val="28"/>
                <w:szCs w:val="28"/>
              </w:rPr>
              <w:t>联系邮箱</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tc>
      </w:tr>
      <w:tr>
        <w:tblPrEx>
          <w:tblCellMar>
            <w:top w:w="0" w:type="dxa"/>
            <w:left w:w="0" w:type="dxa"/>
            <w:bottom w:w="0" w:type="dxa"/>
            <w:right w:w="0" w:type="dxa"/>
          </w:tblCellMar>
        </w:tblPrEx>
        <w:trPr>
          <w:trHeight w:val="1307" w:hRule="atLeast"/>
        </w:trPr>
        <w:tc>
          <w:tcPr>
            <w:tcW w:w="2975" w:type="dxa"/>
            <w:tcBorders>
              <w:top w:val="single" w:color="auto" w:sz="8" w:space="0"/>
              <w:left w:val="single" w:color="auto" w:sz="12" w:space="0"/>
              <w:bottom w:val="single" w:color="auto" w:sz="8" w:space="0"/>
              <w:right w:val="single" w:color="auto" w:sz="8" w:space="0"/>
            </w:tcBorders>
            <w:vAlign w:val="center"/>
          </w:tcPr>
          <w:p>
            <w:pPr>
              <w:autoSpaceDE w:val="0"/>
              <w:autoSpaceDN w:val="0"/>
              <w:rPr>
                <w:rFonts w:ascii="宋体" w:hAnsi="宋体" w:cs="宋体"/>
                <w:color w:val="000000"/>
                <w:kern w:val="0"/>
                <w:sz w:val="28"/>
                <w:szCs w:val="28"/>
              </w:rPr>
            </w:pPr>
            <w:r>
              <w:rPr>
                <w:rFonts w:hint="eastAsia" w:ascii="宋体" w:hAnsi="宋体" w:cs="宋体"/>
                <w:color w:val="000000"/>
                <w:kern w:val="0"/>
                <w:sz w:val="28"/>
                <w:szCs w:val="28"/>
              </w:rPr>
              <w:t xml:space="preserve">  投标报名接受人</w:t>
            </w:r>
          </w:p>
          <w:p>
            <w:pPr>
              <w:autoSpaceDE w:val="0"/>
              <w:autoSpaceDN w:val="0"/>
              <w:rPr>
                <w:rFonts w:ascii="宋体" w:hAnsi="宋体" w:cs="宋体"/>
                <w:color w:val="000000"/>
                <w:kern w:val="0"/>
                <w:sz w:val="28"/>
                <w:szCs w:val="28"/>
              </w:rPr>
            </w:pPr>
            <w:r>
              <w:rPr>
                <w:rFonts w:hint="eastAsia" w:ascii="宋体" w:hAnsi="宋体" w:cs="宋体"/>
                <w:color w:val="000000"/>
                <w:kern w:val="0"/>
                <w:sz w:val="28"/>
                <w:szCs w:val="28"/>
              </w:rPr>
              <w:t xml:space="preserve">    审查意见</w:t>
            </w:r>
          </w:p>
        </w:tc>
        <w:tc>
          <w:tcPr>
            <w:tcW w:w="6549" w:type="dxa"/>
            <w:tcBorders>
              <w:top w:val="single" w:color="auto" w:sz="8" w:space="0"/>
              <w:left w:val="single" w:color="auto" w:sz="8" w:space="0"/>
              <w:bottom w:val="single" w:color="auto" w:sz="8" w:space="0"/>
              <w:right w:val="single" w:color="auto" w:sz="12" w:space="0"/>
            </w:tcBorders>
          </w:tcPr>
          <w:p>
            <w:pPr>
              <w:autoSpaceDE w:val="0"/>
              <w:autoSpaceDN w:val="0"/>
              <w:rPr>
                <w:rFonts w:ascii="宋体" w:hAnsi="宋体" w:cs="宋体"/>
                <w:color w:val="000000"/>
                <w:kern w:val="0"/>
                <w:sz w:val="28"/>
                <w:szCs w:val="28"/>
              </w:rPr>
            </w:pPr>
          </w:p>
          <w:p>
            <w:pPr>
              <w:autoSpaceDE w:val="0"/>
              <w:autoSpaceDN w:val="0"/>
              <w:rPr>
                <w:rFonts w:ascii="宋体" w:hAnsi="宋体" w:cs="宋体"/>
                <w:color w:val="000000"/>
                <w:kern w:val="0"/>
                <w:sz w:val="28"/>
                <w:szCs w:val="28"/>
              </w:rPr>
            </w:pPr>
          </w:p>
          <w:p>
            <w:pPr>
              <w:autoSpaceDE w:val="0"/>
              <w:autoSpaceDN w:val="0"/>
              <w:rPr>
                <w:rFonts w:ascii="宋体" w:hAnsi="宋体" w:cs="宋体"/>
                <w:color w:val="000000"/>
                <w:kern w:val="0"/>
                <w:sz w:val="28"/>
                <w:szCs w:val="28"/>
              </w:rPr>
            </w:pPr>
            <w:r>
              <w:rPr>
                <w:rFonts w:hint="eastAsia" w:ascii="宋体" w:hAnsi="宋体" w:cs="宋体"/>
                <w:color w:val="000000"/>
                <w:kern w:val="0"/>
                <w:sz w:val="28"/>
                <w:szCs w:val="28"/>
              </w:rPr>
              <w:t xml:space="preserve"> 审查人签名：       日期：</w:t>
            </w:r>
          </w:p>
        </w:tc>
      </w:tr>
      <w:tr>
        <w:tblPrEx>
          <w:tblCellMar>
            <w:top w:w="0" w:type="dxa"/>
            <w:left w:w="0" w:type="dxa"/>
            <w:bottom w:w="0" w:type="dxa"/>
            <w:right w:w="0" w:type="dxa"/>
          </w:tblCellMar>
        </w:tblPrEx>
        <w:trPr>
          <w:trHeight w:val="2256" w:hRule="atLeast"/>
        </w:trPr>
        <w:tc>
          <w:tcPr>
            <w:tcW w:w="2975" w:type="dxa"/>
            <w:tcBorders>
              <w:top w:val="single" w:color="auto" w:sz="8" w:space="0"/>
              <w:left w:val="single" w:color="auto" w:sz="12" w:space="0"/>
              <w:bottom w:val="single" w:color="auto" w:sz="12" w:space="0"/>
              <w:right w:val="single" w:color="auto" w:sz="8" w:space="0"/>
            </w:tcBorders>
            <w:vAlign w:val="center"/>
          </w:tcPr>
          <w:p>
            <w:pPr>
              <w:autoSpaceDE w:val="0"/>
              <w:autoSpaceDN w:val="0"/>
              <w:jc w:val="center"/>
              <w:rPr>
                <w:rFonts w:ascii="宋体" w:hAnsi="宋体" w:cs="宋体"/>
                <w:color w:val="000000"/>
                <w:kern w:val="0"/>
                <w:sz w:val="28"/>
                <w:szCs w:val="28"/>
              </w:rPr>
            </w:pPr>
            <w:r>
              <w:rPr>
                <w:rFonts w:hint="eastAsia" w:ascii="宋体" w:hAnsi="宋体" w:cs="宋体"/>
                <w:color w:val="000000"/>
                <w:kern w:val="0"/>
                <w:sz w:val="28"/>
                <w:szCs w:val="28"/>
              </w:rPr>
              <w:t>备  注</w:t>
            </w:r>
          </w:p>
        </w:tc>
        <w:tc>
          <w:tcPr>
            <w:tcW w:w="6549" w:type="dxa"/>
            <w:tcBorders>
              <w:top w:val="single" w:color="auto" w:sz="8" w:space="0"/>
              <w:left w:val="single" w:color="auto" w:sz="8" w:space="0"/>
              <w:bottom w:val="single" w:color="auto" w:sz="12" w:space="0"/>
              <w:right w:val="single" w:color="auto" w:sz="12" w:space="0"/>
            </w:tcBorders>
          </w:tcPr>
          <w:p>
            <w:pPr>
              <w:autoSpaceDE w:val="0"/>
              <w:autoSpaceDN w:val="0"/>
              <w:spacing w:line="400" w:lineRule="exact"/>
              <w:rPr>
                <w:rFonts w:ascii="宋体" w:hAnsi="宋体" w:cs="宋体"/>
                <w:color w:val="000000"/>
                <w:kern w:val="0"/>
                <w:sz w:val="28"/>
                <w:szCs w:val="28"/>
              </w:rPr>
            </w:pPr>
            <w:r>
              <w:rPr>
                <w:rFonts w:hint="eastAsia" w:ascii="宋体" w:hAnsi="宋体" w:cs="宋体"/>
                <w:color w:val="000000"/>
                <w:kern w:val="0"/>
                <w:sz w:val="28"/>
                <w:szCs w:val="28"/>
              </w:rPr>
              <w:t>1.投标报名人应如实填写；</w:t>
            </w:r>
          </w:p>
          <w:p>
            <w:pPr>
              <w:autoSpaceDE w:val="0"/>
              <w:autoSpaceDN w:val="0"/>
              <w:spacing w:line="400" w:lineRule="exact"/>
              <w:rPr>
                <w:rFonts w:ascii="宋体" w:hAnsi="宋体" w:cs="宋体"/>
                <w:strike/>
                <w:color w:val="000000"/>
                <w:kern w:val="0"/>
                <w:sz w:val="28"/>
                <w:szCs w:val="28"/>
              </w:rPr>
            </w:pPr>
            <w:r>
              <w:rPr>
                <w:rFonts w:hint="eastAsia" w:ascii="宋体" w:hAnsi="宋体" w:cs="宋体"/>
                <w:color w:val="000000"/>
                <w:kern w:val="0"/>
                <w:sz w:val="28"/>
                <w:szCs w:val="28"/>
              </w:rPr>
              <w:t>2. 所有资料、证书原件和复印件应该相符，原件由接受人审查后退还，复印件留存；</w:t>
            </w:r>
          </w:p>
          <w:p>
            <w:pPr>
              <w:autoSpaceDE w:val="0"/>
              <w:autoSpaceDN w:val="0"/>
              <w:spacing w:line="400" w:lineRule="exact"/>
              <w:rPr>
                <w:rFonts w:ascii="宋体" w:hAnsi="宋体" w:cs="宋体"/>
                <w:color w:val="000000"/>
                <w:kern w:val="0"/>
                <w:sz w:val="28"/>
                <w:szCs w:val="28"/>
              </w:rPr>
            </w:pPr>
            <w:r>
              <w:rPr>
                <w:rFonts w:hint="eastAsia" w:ascii="宋体" w:hAnsi="宋体" w:cs="宋体"/>
                <w:color w:val="000000"/>
                <w:kern w:val="0"/>
                <w:sz w:val="28"/>
                <w:szCs w:val="28"/>
              </w:rPr>
              <w:t>3.投标报名结束后，招标人应进行汇总，并送单位领导小组备案。</w:t>
            </w:r>
          </w:p>
        </w:tc>
      </w:tr>
    </w:tbl>
    <w:p>
      <w:pPr>
        <w:widowControl/>
        <w:spacing w:line="500" w:lineRule="exact"/>
        <w:ind w:firstLine="420" w:firstLineChars="200"/>
        <w:jc w:val="left"/>
        <w:rPr>
          <w:rFonts w:asciiTheme="minorEastAsia" w:hAnsiTheme="minorEastAsia" w:eastAsiaTheme="minorEastAsia"/>
          <w:szCs w:val="21"/>
        </w:rPr>
      </w:pPr>
      <w:r>
        <w:rPr>
          <w:rFonts w:asciiTheme="minorEastAsia" w:hAnsiTheme="minorEastAsia" w:eastAsiaTheme="minorEastAsia"/>
          <w:szCs w:val="21"/>
        </w:rPr>
        <w:br w:type="textWrapping"/>
      </w:r>
    </w:p>
    <w:p>
      <w:pPr>
        <w:rPr>
          <w:rFonts w:hint="eastAsia"/>
        </w:rPr>
      </w:pPr>
      <w:bookmarkStart w:id="4" w:name="_GoBack"/>
      <w:bookmarkEnd w:id="4"/>
    </w:p>
    <w:sectPr>
      <w:pgSz w:w="11907" w:h="16840"/>
      <w:pgMar w:top="1134" w:right="1094" w:bottom="907" w:left="125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w:altName w:val="Times New Roman"/>
    <w:panose1 w:val="02040604050505020304"/>
    <w:charset w:val="00"/>
    <w:family w:val="roman"/>
    <w:pitch w:val="default"/>
    <w:sig w:usb0="00000000" w:usb1="00000000" w:usb2="00000000" w:usb3="00000000" w:csb0="2000009F" w:csb1="DFD70000"/>
  </w:font>
  <w:font w:name="Arial Unicode MS">
    <w:altName w:val="宋体"/>
    <w:panose1 w:val="020B0604020202020204"/>
    <w:charset w:val="86"/>
    <w:family w:val="swiss"/>
    <w:pitch w:val="default"/>
    <w:sig w:usb0="00000000" w:usb1="00000000" w:usb2="0000003F" w:usb3="00000000" w:csb0="003F01FF" w:csb1="00000000"/>
  </w:font>
  <w:font w:name="Wingdings 2">
    <w:altName w:val="Wingdings"/>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lNDUxYTNiY2Y4ZTk2OTEyMTQ3NTdiZmY1MjcxZDkifQ=="/>
  </w:docVars>
  <w:rsids>
    <w:rsidRoot w:val="6E2A2653"/>
    <w:rsid w:val="0A8C7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next w:val="1"/>
    <w:qFormat/>
    <w:uiPriority w:val="0"/>
    <w:pPr>
      <w:spacing w:line="440" w:lineRule="exact"/>
      <w:ind w:firstLine="196" w:firstLineChars="196"/>
    </w:pPr>
    <w:rPr>
      <w:rFonts w:ascii="宋体" w:cs="Century"/>
      <w:spacing w:val="2"/>
      <w:szCs w:val="24"/>
    </w:rPr>
  </w:style>
  <w:style w:type="paragraph" w:customStyle="1" w:styleId="5">
    <w:name w:val="Default"/>
    <w:qFormat/>
    <w:uiPriority w:val="0"/>
    <w:pPr>
      <w:widowControl w:val="0"/>
      <w:autoSpaceDE w:val="0"/>
      <w:autoSpaceDN w:val="0"/>
      <w:adjustRightInd w:val="0"/>
    </w:pPr>
    <w:rPr>
      <w:rFonts w:ascii="Arial Unicode MS" w:hAnsi="Times New Roman" w:eastAsia="Arial Unicode MS" w:cs="Arial Unicode MS"/>
      <w:color w:val="000000"/>
      <w:kern w:val="0"/>
      <w:sz w:val="24"/>
      <w:szCs w:val="24"/>
      <w:lang w:val="en-US" w:eastAsia="zh-CN" w:bidi="ar-SA"/>
    </w:rPr>
  </w:style>
  <w:style w:type="paragraph" w:customStyle="1" w:styleId="6">
    <w:name w:val="正文2"/>
    <w:qFormat/>
    <w:uiPriority w:val="0"/>
    <w:pPr>
      <w:widowControl w:val="0"/>
      <w:jc w:val="both"/>
    </w:pPr>
    <w:rPr>
      <w:rFonts w:ascii="Calibri" w:hAnsi="Calibri" w:eastAsia="宋体" w:cs="Times New Roman"/>
      <w:kern w:val="0"/>
      <w:sz w:val="20"/>
      <w:szCs w:val="20"/>
      <w:lang w:val="en-US" w:eastAsia="zh-CN" w:bidi="ar-SA"/>
    </w:rPr>
  </w:style>
  <w:style w:type="paragraph" w:customStyle="1" w:styleId="7">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
    <w:name w:val="正文_0_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1441</Words>
  <Characters>1627</Characters>
  <Lines>0</Lines>
  <Paragraphs>0</Paragraphs>
  <TotalTime>0</TotalTime>
  <ScaleCrop>false</ScaleCrop>
  <LinksUpToDate>false</LinksUpToDate>
  <CharactersWithSpaces>1652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2023-06-12T01:01:00Z</dcterms:created>
  <dc:creator>Minna</dc:creator>
  <cp:lastModifiedBy>Minna</cp:lastModifiedBy>
  <dcterms:modified xsi:type="dcterms:W3CDTF">2023-06-12T05:23:59Z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EFDF3F0470924D57AC2AB18A3AC12D6F_11</vt:lpwstr>
  </property>
</Properties>
</file>