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80" w:lineRule="exact"/>
        <w:jc w:val="both"/>
        <w:rPr>
          <w:rFonts w:hint="eastAsia" w:ascii="黑体" w:hAnsi="Calibri" w:eastAsia="黑体" w:cs="Times New Roman"/>
          <w:color w:val="000000"/>
          <w:kern w:val="0"/>
          <w:sz w:val="32"/>
          <w:szCs w:val="32"/>
          <w:lang w:eastAsia="zh-CN"/>
        </w:rPr>
      </w:pPr>
      <w:r>
        <w:rPr>
          <w:rFonts w:hint="eastAsia" w:ascii="黑体" w:hAnsi="Calibri" w:eastAsia="黑体" w:cs="Times New Roman"/>
          <w:color w:val="000000"/>
          <w:kern w:val="0"/>
          <w:sz w:val="32"/>
          <w:szCs w:val="32"/>
          <w:lang w:eastAsia="zh-CN"/>
        </w:rPr>
        <w:t>附件一</w:t>
      </w:r>
    </w:p>
    <w:p>
      <w:pPr>
        <w:widowControl/>
        <w:spacing w:line="380" w:lineRule="exact"/>
        <w:jc w:val="center"/>
        <w:rPr>
          <w:rFonts w:hint="eastAsia" w:ascii="黑体" w:hAnsi="Calibri" w:eastAsia="黑体" w:cs="Times New Roman"/>
          <w:color w:val="000000"/>
          <w:kern w:val="0"/>
          <w:sz w:val="32"/>
          <w:szCs w:val="32"/>
          <w:lang w:eastAsia="zh-CN"/>
        </w:rPr>
      </w:pPr>
      <w:r>
        <w:rPr>
          <w:rFonts w:hint="eastAsia" w:ascii="黑体" w:hAnsi="Calibri" w:eastAsia="黑体" w:cs="Times New Roman"/>
          <w:color w:val="000000"/>
          <w:kern w:val="0"/>
          <w:sz w:val="32"/>
          <w:szCs w:val="32"/>
          <w:lang w:eastAsia="zh-CN"/>
        </w:rPr>
        <w:t>零星工程投标报名表</w:t>
      </w:r>
    </w:p>
    <w:tbl>
      <w:tblPr>
        <w:tblStyle w:val="3"/>
        <w:tblW w:w="50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572"/>
        <w:gridCol w:w="7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招标单位</w:t>
            </w:r>
          </w:p>
        </w:tc>
        <w:tc>
          <w:tcPr>
            <w:tcW w:w="3667"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常州市新北区泰山小学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项目名称</w:t>
            </w:r>
          </w:p>
        </w:tc>
        <w:tc>
          <w:tcPr>
            <w:tcW w:w="3667"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泰山小学零星改造工程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项目地址</w:t>
            </w:r>
          </w:p>
        </w:tc>
        <w:tc>
          <w:tcPr>
            <w:tcW w:w="3667"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泰山小学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投标单位报名情况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投标单位（盖章）</w:t>
            </w:r>
          </w:p>
        </w:tc>
        <w:tc>
          <w:tcPr>
            <w:tcW w:w="3667" w:type="pct"/>
            <w:noWrap w:val="0"/>
            <w:vAlign w:val="top"/>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资质等级</w:t>
            </w:r>
          </w:p>
        </w:tc>
        <w:tc>
          <w:tcPr>
            <w:tcW w:w="3667" w:type="pct"/>
            <w:noWrap w:val="0"/>
            <w:vAlign w:val="top"/>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法定代表人（签字并盖章）</w:t>
            </w:r>
          </w:p>
        </w:tc>
        <w:tc>
          <w:tcPr>
            <w:tcW w:w="3667" w:type="pct"/>
            <w:noWrap w:val="0"/>
            <w:vAlign w:val="top"/>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投标负责人</w:t>
            </w:r>
          </w:p>
        </w:tc>
        <w:tc>
          <w:tcPr>
            <w:tcW w:w="3667" w:type="pct"/>
            <w:noWrap w:val="0"/>
            <w:vAlign w:val="top"/>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联系电话（手机及邮箱）</w:t>
            </w:r>
          </w:p>
        </w:tc>
        <w:tc>
          <w:tcPr>
            <w:tcW w:w="3667" w:type="pct"/>
            <w:noWrap w:val="0"/>
            <w:vAlign w:val="top"/>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投标报名时间</w:t>
            </w:r>
          </w:p>
        </w:tc>
        <w:tc>
          <w:tcPr>
            <w:tcW w:w="3667" w:type="pct"/>
            <w:noWrap w:val="0"/>
            <w:vAlign w:val="top"/>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0"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投标报名接受人审查意见</w:t>
            </w:r>
          </w:p>
        </w:tc>
        <w:tc>
          <w:tcPr>
            <w:tcW w:w="3667"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审查人签名：</w:t>
            </w:r>
          </w:p>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85" w:hRule="atLeast"/>
          <w:jc w:val="center"/>
        </w:trPr>
        <w:tc>
          <w:tcPr>
            <w:tcW w:w="133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备注</w:t>
            </w:r>
          </w:p>
        </w:tc>
        <w:tc>
          <w:tcPr>
            <w:tcW w:w="3667"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1.投标报名人应如实填写</w:t>
            </w:r>
            <w:r>
              <w:rPr>
                <w:rFonts w:hint="eastAsia" w:ascii="宋体" w:hAnsi="宋体" w:eastAsia="宋体" w:cs="宋体"/>
                <w:color w:val="auto"/>
                <w:kern w:val="0"/>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2.所有资料、证书原件和复印件应该相符，原件由接受人审查后退还，复印件留存</w:t>
            </w:r>
            <w:r>
              <w:rPr>
                <w:rFonts w:hint="eastAsia" w:ascii="宋体" w:hAnsi="宋体" w:eastAsia="宋体" w:cs="宋体"/>
                <w:color w:val="auto"/>
                <w:kern w:val="0"/>
                <w:sz w:val="21"/>
                <w:szCs w:val="21"/>
                <w:highlight w:val="none"/>
                <w:lang w:eastAsia="zh-CN"/>
              </w:rPr>
              <w:t>。</w:t>
            </w:r>
          </w:p>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3.投标报名结束后，招标人应进行汇总，并将投标报名汇总送单位领导小组备案。</w:t>
            </w:r>
          </w:p>
        </w:tc>
      </w:tr>
    </w:tbl>
    <w:p>
      <w:pPr>
        <w:spacing w:after="156" w:afterLines="50" w:line="480" w:lineRule="exact"/>
        <w:jc w:val="left"/>
        <w:rPr>
          <w:rFonts w:hint="eastAsia" w:ascii="黑体" w:hAnsi="Calibri" w:eastAsia="黑体" w:cs="Times New Roman"/>
          <w:color w:val="000000"/>
          <w:kern w:val="0"/>
          <w:sz w:val="32"/>
          <w:szCs w:val="32"/>
          <w:lang w:eastAsia="zh-CN"/>
        </w:rPr>
      </w:pPr>
      <w:r>
        <w:rPr>
          <w:rFonts w:ascii="黑体" w:hAnsi="宋体" w:eastAsia="黑体"/>
          <w:sz w:val="30"/>
          <w:szCs w:val="30"/>
        </w:rPr>
        <w:br w:type="page"/>
      </w:r>
      <w:r>
        <w:rPr>
          <w:rFonts w:hint="eastAsia" w:ascii="黑体" w:hAnsi="Calibri" w:eastAsia="黑体" w:cs="Times New Roman"/>
          <w:color w:val="000000"/>
          <w:kern w:val="0"/>
          <w:sz w:val="32"/>
          <w:szCs w:val="32"/>
          <w:lang w:eastAsia="zh-CN"/>
        </w:rPr>
        <w:t>附件二</w:t>
      </w:r>
    </w:p>
    <w:p>
      <w:pPr>
        <w:widowControl/>
        <w:spacing w:line="380" w:lineRule="exact"/>
        <w:jc w:val="center"/>
        <w:rPr>
          <w:rFonts w:hint="eastAsia" w:ascii="黑体" w:hAnsi="Calibri" w:eastAsia="黑体" w:cs="Times New Roman"/>
          <w:color w:val="000000"/>
          <w:kern w:val="0"/>
          <w:sz w:val="32"/>
          <w:szCs w:val="32"/>
          <w:lang w:eastAsia="zh-CN"/>
        </w:rPr>
      </w:pPr>
      <w:r>
        <w:rPr>
          <w:rFonts w:hint="eastAsia" w:ascii="黑体" w:hAnsi="Calibri" w:eastAsia="黑体" w:cs="Times New Roman"/>
          <w:color w:val="000000"/>
          <w:kern w:val="0"/>
          <w:sz w:val="32"/>
          <w:szCs w:val="32"/>
          <w:lang w:eastAsia="zh-CN"/>
        </w:rPr>
        <w:t>评标办法</w:t>
      </w:r>
    </w:p>
    <w:p>
      <w:pPr>
        <w:snapToGrid w:val="0"/>
        <w:spacing w:line="360" w:lineRule="exact"/>
        <w:ind w:firstLine="422" w:firstLineChars="200"/>
        <w:rPr>
          <w:rFonts w:ascii="宋体"/>
          <w:b/>
          <w:color w:val="auto"/>
          <w:szCs w:val="21"/>
          <w:highlight w:val="none"/>
        </w:rPr>
      </w:pPr>
      <w:bookmarkStart w:id="0" w:name="_Hlk108014910"/>
      <w:r>
        <w:rPr>
          <w:rFonts w:hint="eastAsia" w:ascii="宋体"/>
          <w:b/>
          <w:color w:val="auto"/>
          <w:szCs w:val="21"/>
          <w:highlight w:val="none"/>
        </w:rPr>
        <w:t>本着公平、公正、公开的原则，对各投标人投标文件中的商务标进行综合评分。具体办法如下：（共计100分）</w:t>
      </w:r>
    </w:p>
    <w:p>
      <w:pPr>
        <w:keepNext w:val="0"/>
        <w:keepLines w:val="0"/>
        <w:pageBreakBefore w:val="0"/>
        <w:kinsoku/>
        <w:wordWrap/>
        <w:overflowPunct/>
        <w:topLinePunct w:val="0"/>
        <w:bidi w:val="0"/>
        <w:spacing w:line="360" w:lineRule="exact"/>
        <w:textAlignment w:val="auto"/>
        <w:rPr>
          <w:rFonts w:hint="eastAsia" w:ascii="宋体" w:hAnsi="宋体" w:cs="宋体"/>
          <w:b/>
          <w:bCs/>
          <w:sz w:val="21"/>
          <w:szCs w:val="21"/>
        </w:rPr>
      </w:pPr>
      <w:r>
        <w:rPr>
          <w:rFonts w:hint="eastAsia" w:ascii="宋体" w:hAnsi="宋体" w:cs="宋体"/>
          <w:b/>
          <w:bCs/>
          <w:sz w:val="21"/>
          <w:szCs w:val="21"/>
        </w:rPr>
        <w:t>一、确定有效投标报价</w:t>
      </w:r>
    </w:p>
    <w:p>
      <w:pPr>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凡符合招标公告、招标文件、招标答疑纪要等有关招标实质性要求并且在</w:t>
      </w:r>
      <w:r>
        <w:rPr>
          <w:rFonts w:hint="eastAsia" w:ascii="宋体" w:hAnsi="宋体"/>
          <w:color w:val="auto"/>
          <w:szCs w:val="21"/>
          <w:highlight w:val="none"/>
          <w:lang w:eastAsia="zh-CN"/>
        </w:rPr>
        <w:t>控制价</w:t>
      </w:r>
      <w:r>
        <w:rPr>
          <w:rFonts w:hint="eastAsia" w:ascii="宋体" w:hAnsi="宋体"/>
          <w:color w:val="auto"/>
          <w:szCs w:val="21"/>
          <w:highlight w:val="none"/>
        </w:rPr>
        <w:t>以下</w:t>
      </w:r>
      <w:r>
        <w:rPr>
          <w:rFonts w:hint="eastAsia" w:ascii="宋体" w:hAnsi="宋体" w:eastAsia="宋体" w:cs="宋体"/>
          <w:b/>
          <w:bCs/>
          <w:color w:val="auto"/>
          <w:sz w:val="21"/>
          <w:szCs w:val="21"/>
          <w:highlight w:val="none"/>
        </w:rPr>
        <w:t>（同时投标报价各项清单单价不高于控制价清单单价）</w:t>
      </w:r>
      <w:r>
        <w:rPr>
          <w:rFonts w:hint="eastAsia" w:ascii="宋体" w:hAnsi="宋体"/>
          <w:color w:val="auto"/>
          <w:szCs w:val="21"/>
          <w:highlight w:val="none"/>
        </w:rPr>
        <w:t>的投标报价均为有效投标报价。未能实质性响应上述有关招标要求的投标文件为无效投标文件。</w:t>
      </w:r>
    </w:p>
    <w:p>
      <w:pPr>
        <w:keepNext w:val="0"/>
        <w:keepLines w:val="0"/>
        <w:pageBreakBefore w:val="0"/>
        <w:kinsoku/>
        <w:wordWrap/>
        <w:overflowPunct/>
        <w:topLinePunct w:val="0"/>
        <w:bidi w:val="0"/>
        <w:spacing w:line="360" w:lineRule="exact"/>
        <w:textAlignment w:val="auto"/>
        <w:rPr>
          <w:rFonts w:hint="eastAsia" w:ascii="宋体" w:hAnsi="宋体" w:cs="宋体"/>
          <w:b/>
          <w:bCs/>
          <w:sz w:val="21"/>
          <w:szCs w:val="21"/>
        </w:rPr>
      </w:pPr>
      <w:r>
        <w:rPr>
          <w:rFonts w:hint="eastAsia" w:ascii="宋体" w:hAnsi="宋体" w:cs="宋体"/>
          <w:b/>
          <w:bCs/>
          <w:sz w:val="21"/>
          <w:szCs w:val="21"/>
        </w:rPr>
        <w:t>二、打分（100分）</w:t>
      </w:r>
    </w:p>
    <w:p>
      <w:pPr>
        <w:snapToGrid w:val="0"/>
        <w:spacing w:line="360" w:lineRule="exact"/>
        <w:ind w:firstLine="422" w:firstLineChars="200"/>
        <w:rPr>
          <w:rFonts w:hint="eastAsia" w:ascii="宋体"/>
          <w:color w:val="auto"/>
          <w:szCs w:val="21"/>
          <w:highlight w:val="none"/>
        </w:rPr>
      </w:pPr>
      <w:r>
        <w:rPr>
          <w:rFonts w:hint="eastAsia" w:ascii="宋体"/>
          <w:b/>
          <w:bCs/>
          <w:color w:val="auto"/>
          <w:szCs w:val="21"/>
          <w:highlight w:val="none"/>
        </w:rPr>
        <w:t>第一步</w:t>
      </w:r>
      <w:r>
        <w:rPr>
          <w:rFonts w:hint="eastAsia" w:ascii="宋体"/>
          <w:color w:val="auto"/>
          <w:szCs w:val="21"/>
          <w:highlight w:val="none"/>
        </w:rPr>
        <w:t>：确定评标基准价</w:t>
      </w:r>
    </w:p>
    <w:p>
      <w:pPr>
        <w:keepNext w:val="0"/>
        <w:keepLines w:val="0"/>
        <w:pageBreakBefore w:val="0"/>
        <w:kinsoku/>
        <w:wordWrap/>
        <w:overflowPunct/>
        <w:topLinePunct w:val="0"/>
        <w:bidi w:val="0"/>
        <w:adjustRightInd/>
        <w:snapToGrid w:val="0"/>
        <w:spacing w:line="360" w:lineRule="exact"/>
        <w:ind w:firstLine="384" w:firstLineChars="18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ABC评标基准价J=(A×50%＋B×30%＋C×20%)×K</w:t>
      </w:r>
    </w:p>
    <w:p>
      <w:pPr>
        <w:keepNext w:val="0"/>
        <w:keepLines w:val="0"/>
        <w:pageBreakBefore w:val="0"/>
        <w:kinsoku/>
        <w:wordWrap/>
        <w:overflowPunct/>
        <w:topLinePunct w:val="0"/>
        <w:bidi w:val="0"/>
        <w:adjustRightInd/>
        <w:snapToGrid w:val="0"/>
        <w:spacing w:line="360" w:lineRule="exact"/>
        <w:ind w:firstLine="384" w:firstLineChars="18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A=最高投标限价*(100%－下浮率Δ)。</w:t>
      </w:r>
    </w:p>
    <w:p>
      <w:pPr>
        <w:keepNext w:val="0"/>
        <w:keepLines w:val="0"/>
        <w:pageBreakBefore w:val="0"/>
        <w:kinsoku/>
        <w:wordWrap/>
        <w:overflowPunct/>
        <w:topLinePunct w:val="0"/>
        <w:bidi w:val="0"/>
        <w:adjustRightInd/>
        <w:snapToGrid w:val="0"/>
        <w:spacing w:line="360" w:lineRule="exact"/>
        <w:ind w:firstLine="384" w:firstLineChars="18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B=在规定范围内的评标价除C值外的任意一个评标价，在开标时随机抽取确定；</w:t>
      </w:r>
    </w:p>
    <w:p>
      <w:pPr>
        <w:keepNext w:val="0"/>
        <w:keepLines w:val="0"/>
        <w:pageBreakBefore w:val="0"/>
        <w:kinsoku/>
        <w:wordWrap/>
        <w:overflowPunct/>
        <w:topLinePunct w:val="0"/>
        <w:bidi w:val="0"/>
        <w:adjustRightInd/>
        <w:snapToGrid w:val="0"/>
        <w:spacing w:line="360" w:lineRule="exact"/>
        <w:ind w:firstLine="384" w:firstLineChars="18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C=在规定范围内的最低评标价。</w:t>
      </w:r>
    </w:p>
    <w:p>
      <w:pPr>
        <w:snapToGrid w:val="0"/>
        <w:spacing w:line="360" w:lineRule="exact"/>
        <w:ind w:firstLine="384" w:firstLineChars="183"/>
        <w:rPr>
          <w:rFonts w:ascii="宋体" w:hAnsi="宋体" w:eastAsia="宋体" w:cs="宋体"/>
          <w:color w:val="auto"/>
          <w:szCs w:val="21"/>
          <w:highlight w:val="none"/>
        </w:rPr>
      </w:pPr>
      <w:r>
        <w:rPr>
          <w:rFonts w:hint="eastAsia" w:ascii="宋体" w:hAnsi="宋体" w:eastAsia="宋体" w:cs="宋体"/>
          <w:color w:val="auto"/>
          <w:szCs w:val="21"/>
          <w:highlight w:val="none"/>
        </w:rPr>
        <w:t>规定范围内:评标价算术平均值×70%与最高投标限价×30%之和下浮25%以内的所有评标价；</w:t>
      </w:r>
    </w:p>
    <w:p>
      <w:pPr>
        <w:snapToGrid w:val="0"/>
        <w:spacing w:line="360" w:lineRule="exact"/>
        <w:ind w:firstLine="384" w:firstLineChars="183"/>
        <w:rPr>
          <w:rFonts w:ascii="宋体" w:hAnsi="宋体" w:eastAsia="宋体" w:cs="宋体"/>
          <w:color w:val="auto"/>
          <w:szCs w:val="21"/>
          <w:highlight w:val="none"/>
        </w:rPr>
      </w:pPr>
      <w:r>
        <w:rPr>
          <w:rFonts w:hint="eastAsia" w:ascii="宋体" w:hAnsi="宋体" w:eastAsia="宋体" w:cs="宋体"/>
          <w:color w:val="auto"/>
          <w:szCs w:val="21"/>
          <w:highlight w:val="none"/>
        </w:rPr>
        <w:t>上述最高投标限价和评标价均应扣除专业工程暂估价(含税金)后参与计算和抽取；应扣除的专业工程暂估价（含税金）为</w:t>
      </w:r>
      <w:r>
        <w:rPr>
          <w:rFonts w:hint="eastAsia" w:ascii="宋体" w:hAnsi="宋体" w:eastAsia="宋体" w:cs="宋体"/>
          <w:b/>
          <w:bCs/>
          <w:color w:val="auto"/>
          <w:szCs w:val="21"/>
          <w:highlight w:val="none"/>
        </w:rPr>
        <w:t>0万元</w:t>
      </w:r>
      <w:r>
        <w:rPr>
          <w:rFonts w:hint="eastAsia" w:ascii="宋体" w:hAnsi="宋体" w:eastAsia="宋体" w:cs="宋体"/>
          <w:color w:val="auto"/>
          <w:szCs w:val="21"/>
          <w:highlight w:val="none"/>
        </w:rPr>
        <w:t>。</w:t>
      </w:r>
    </w:p>
    <w:p>
      <w:pPr>
        <w:snapToGrid w:val="0"/>
        <w:spacing w:line="360" w:lineRule="exact"/>
        <w:ind w:firstLine="384" w:firstLineChars="183"/>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注：1.下浮系数K取值96%、96.5%、97%、97.5%、98%、98.5%、99%；</w:t>
      </w:r>
    </w:p>
    <w:p>
      <w:pPr>
        <w:snapToGrid w:val="0"/>
        <w:spacing w:line="360" w:lineRule="exact"/>
        <w:ind w:firstLine="1008" w:firstLineChars="480"/>
        <w:rPr>
          <w:rFonts w:ascii="宋体" w:hAnsi="宋体" w:eastAsia="宋体" w:cs="宋体"/>
          <w:color w:val="auto"/>
          <w:szCs w:val="21"/>
          <w:highlight w:val="none"/>
        </w:rPr>
      </w:pPr>
      <w:r>
        <w:rPr>
          <w:rFonts w:hint="eastAsia" w:ascii="宋体" w:hAnsi="宋体" w:eastAsia="宋体" w:cs="宋体"/>
          <w:color w:val="auto"/>
          <w:szCs w:val="21"/>
          <w:highlight w:val="none"/>
        </w:rPr>
        <w:t>下浮率Δ取值6%、7%、8%、9%、10%、11%、12%</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13</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、14</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、15</w:t>
      </w:r>
      <w:r>
        <w:rPr>
          <w:rFonts w:hint="eastAsia" w:ascii="宋体" w:hAnsi="宋体" w:eastAsia="宋体" w:cs="宋体"/>
          <w:color w:val="auto"/>
          <w:szCs w:val="21"/>
          <w:highlight w:val="none"/>
        </w:rPr>
        <w:t>%共10个数值。</w:t>
      </w:r>
    </w:p>
    <w:p>
      <w:pPr>
        <w:autoSpaceDE w:val="0"/>
        <w:autoSpaceDN w:val="0"/>
        <w:snapToGrid w:val="0"/>
        <w:spacing w:line="360" w:lineRule="exact"/>
        <w:ind w:firstLine="840" w:firstLineChars="400"/>
        <w:rPr>
          <w:rFonts w:ascii="宋体" w:hAnsi="宋体" w:eastAsia="宋体" w:cs="宋体"/>
          <w:color w:val="auto"/>
          <w:szCs w:val="21"/>
          <w:highlight w:val="none"/>
        </w:rPr>
      </w:pPr>
      <w:r>
        <w:rPr>
          <w:rFonts w:hint="eastAsia" w:ascii="宋体" w:hAnsi="宋体" w:eastAsia="宋体" w:cs="宋体"/>
          <w:color w:val="auto"/>
          <w:szCs w:val="21"/>
          <w:highlight w:val="none"/>
        </w:rPr>
        <w:t>2.B值的抽取、确定：由在投标截止时间前到达开标现场并签到的所有投标人按签到顺序领取1、2、3、....号。由</w:t>
      </w:r>
      <w:r>
        <w:rPr>
          <w:rFonts w:hint="eastAsia" w:ascii="宋体" w:hAnsi="宋体" w:eastAsia="宋体" w:cs="宋体"/>
          <w:b/>
          <w:bCs/>
          <w:color w:val="auto"/>
          <w:szCs w:val="21"/>
          <w:highlight w:val="none"/>
        </w:rPr>
        <w:t>投标人代表</w:t>
      </w:r>
      <w:r>
        <w:rPr>
          <w:rFonts w:hint="eastAsia" w:ascii="宋体" w:hAnsi="宋体" w:eastAsia="宋体" w:cs="宋体"/>
          <w:color w:val="auto"/>
          <w:szCs w:val="21"/>
          <w:highlight w:val="none"/>
        </w:rPr>
        <w:t>在规定范围内的任意一个评标价（除C值外）中随机抽取B值。</w:t>
      </w:r>
    </w:p>
    <w:p>
      <w:pPr>
        <w:autoSpaceDE w:val="0"/>
        <w:autoSpaceDN w:val="0"/>
        <w:snapToGrid w:val="0"/>
        <w:spacing w:line="360" w:lineRule="exact"/>
        <w:ind w:firstLine="422" w:firstLineChars="200"/>
        <w:rPr>
          <w:rFonts w:ascii="宋体" w:hAnsi="宋体" w:eastAsia="宋体" w:cs="宋体"/>
          <w:color w:val="auto"/>
          <w:szCs w:val="21"/>
          <w:highlight w:val="none"/>
        </w:rPr>
      </w:pPr>
      <w:r>
        <w:rPr>
          <w:rFonts w:hint="eastAsia" w:ascii="宋体"/>
          <w:b/>
          <w:bCs/>
          <w:color w:val="auto"/>
          <w:szCs w:val="21"/>
          <w:highlight w:val="none"/>
        </w:rPr>
        <w:t>第二步</w:t>
      </w:r>
      <w:r>
        <w:rPr>
          <w:rFonts w:hint="eastAsia" w:ascii="宋体"/>
          <w:color w:val="auto"/>
          <w:szCs w:val="21"/>
          <w:highlight w:val="none"/>
        </w:rPr>
        <w:t>：</w:t>
      </w:r>
      <w:r>
        <w:rPr>
          <w:rFonts w:hint="eastAsia" w:ascii="宋体" w:hAnsi="宋体" w:eastAsia="宋体" w:cs="宋体"/>
          <w:color w:val="auto"/>
          <w:szCs w:val="21"/>
          <w:highlight w:val="none"/>
        </w:rPr>
        <w:t>以经评审的ABC评标基准价得最高分，并以此为基准，确定其他投标人的价格得分。评标价比对ABC评标基准价，每偏离1%减扣一定的分值(0.6分、0.7分、0.8分，在开标时随机抽取其中一个分值），每低1%减扣的分值为随机抽取值，每高1%减扣的分值为随机抽取值的1.5倍，偏离不足1%的，按插入法计算得分。</w:t>
      </w:r>
    </w:p>
    <w:p>
      <w:pPr>
        <w:keepNext w:val="0"/>
        <w:keepLines w:val="0"/>
        <w:pageBreakBefore w:val="0"/>
        <w:kinsoku/>
        <w:wordWrap/>
        <w:overflowPunct/>
        <w:topLinePunct w:val="0"/>
        <w:bidi w:val="0"/>
        <w:adjustRightInd/>
        <w:spacing w:line="36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注：</w:t>
      </w:r>
    </w:p>
    <w:p>
      <w:pPr>
        <w:keepNext w:val="0"/>
        <w:keepLines w:val="0"/>
        <w:pageBreakBefore w:val="0"/>
        <w:kinsoku/>
        <w:wordWrap/>
        <w:overflowPunct/>
        <w:topLinePunct w:val="0"/>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1.评标程序：1）符合性评审（资格审查）；2）清标；3）经济标评审；4）计算评标基准价；5）汇总得分；6）定标。</w:t>
      </w:r>
    </w:p>
    <w:p>
      <w:pPr>
        <w:keepNext w:val="0"/>
        <w:keepLines w:val="0"/>
        <w:pageBreakBefore w:val="0"/>
        <w:kinsoku/>
        <w:wordWrap/>
        <w:overflowPunct/>
        <w:topLinePunct w:val="0"/>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2.前续评审不合格的不再进行后续评审。</w:t>
      </w:r>
    </w:p>
    <w:p>
      <w:pPr>
        <w:keepNext w:val="0"/>
        <w:keepLines w:val="0"/>
        <w:pageBreakBefore w:val="0"/>
        <w:kinsoku/>
        <w:wordWrap/>
        <w:overflowPunct/>
        <w:topLinePunct w:val="0"/>
        <w:bidi w:val="0"/>
        <w:adjustRightInd/>
        <w:spacing w:line="36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3.所有抽签均在唱标后、资格审查完成且清标结束，并经评标委员会所有评委签字认可确定有效标，由</w:t>
      </w:r>
      <w:r>
        <w:rPr>
          <w:rFonts w:hint="eastAsia" w:ascii="宋体" w:hAnsi="宋体" w:eastAsia="宋体" w:cs="宋体"/>
          <w:b/>
          <w:bCs/>
          <w:color w:val="auto"/>
          <w:sz w:val="21"/>
          <w:szCs w:val="21"/>
          <w:highlight w:val="none"/>
          <w:lang w:eastAsia="zh-CN"/>
        </w:rPr>
        <w:t>投</w:t>
      </w:r>
      <w:r>
        <w:rPr>
          <w:rFonts w:hint="eastAsia" w:ascii="宋体" w:hAnsi="宋体" w:eastAsia="宋体" w:cs="宋体"/>
          <w:b/>
          <w:bCs/>
          <w:color w:val="auto"/>
          <w:sz w:val="21"/>
          <w:szCs w:val="21"/>
          <w:highlight w:val="none"/>
        </w:rPr>
        <w:t>标人代表</w:t>
      </w:r>
      <w:r>
        <w:rPr>
          <w:rFonts w:hint="eastAsia" w:ascii="宋体" w:hAnsi="宋体" w:eastAsia="宋体" w:cs="宋体"/>
          <w:color w:val="auto"/>
          <w:sz w:val="21"/>
          <w:szCs w:val="21"/>
          <w:highlight w:val="none"/>
        </w:rPr>
        <w:t>随机进行抽取确定。</w:t>
      </w:r>
    </w:p>
    <w:p>
      <w:pPr>
        <w:keepNext w:val="0"/>
        <w:keepLines w:val="0"/>
        <w:pageBreakBefore w:val="0"/>
        <w:kinsoku/>
        <w:wordWrap/>
        <w:overflowPunct/>
        <w:topLinePunct w:val="0"/>
        <w:autoSpaceDE w:val="0"/>
        <w:autoSpaceDN w:val="0"/>
        <w:bidi w:val="0"/>
        <w:adjustRightInd/>
        <w:snapToGrid w:val="0"/>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开标时有效标少于等于3家的，不再采用ABC评标基准价办法，采用最低评标价作为评标基准价。</w:t>
      </w:r>
    </w:p>
    <w:p>
      <w:pPr>
        <w:snapToGrid w:val="0"/>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评标价指有效投标文件经澄清、补正和修正算术计算错误的投标报价。</w:t>
      </w:r>
    </w:p>
    <w:p>
      <w:pPr>
        <w:keepNext w:val="0"/>
        <w:keepLines w:val="0"/>
        <w:pageBreakBefore w:val="0"/>
        <w:widowControl w:val="0"/>
        <w:tabs>
          <w:tab w:val="left" w:pos="5940"/>
        </w:tabs>
        <w:kinsoku/>
        <w:wordWrap/>
        <w:overflowPunct/>
        <w:topLinePunct w:val="0"/>
        <w:autoSpaceDE/>
        <w:autoSpaceDN/>
        <w:bidi w:val="0"/>
        <w:adjustRightInd/>
        <w:snapToGrid w:val="0"/>
        <w:spacing w:line="360" w:lineRule="exact"/>
        <w:ind w:firstLine="420" w:firstLineChars="200"/>
        <w:jc w:val="left"/>
        <w:textAlignment w:val="auto"/>
        <w:rPr>
          <w:rFonts w:hint="eastAsia" w:ascii="宋体" w:hAnsi="宋体"/>
          <w:bCs/>
          <w:color w:val="auto"/>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.各类抽签值在抽取产生后，评标基准价不因招投标当事人质疑、投诉、复议以及其它任何情形而改变（除计算错误外）。</w:t>
      </w:r>
    </w:p>
    <w:p>
      <w:pPr>
        <w:keepNext w:val="0"/>
        <w:keepLines w:val="0"/>
        <w:pageBreakBefore w:val="0"/>
        <w:kinsoku/>
        <w:wordWrap/>
        <w:overflowPunct/>
        <w:topLinePunct w:val="0"/>
        <w:autoSpaceDE w:val="0"/>
        <w:autoSpaceDN w:val="0"/>
        <w:bidi w:val="0"/>
        <w:adjustRightInd w:val="0"/>
        <w:spacing w:line="360" w:lineRule="exact"/>
        <w:jc w:val="left"/>
        <w:textAlignment w:val="auto"/>
        <w:rPr>
          <w:rFonts w:hint="eastAsia" w:ascii="宋体" w:hAnsi="宋体"/>
          <w:b/>
          <w:bCs/>
          <w:sz w:val="21"/>
          <w:szCs w:val="21"/>
        </w:rPr>
      </w:pPr>
      <w:r>
        <w:rPr>
          <w:rFonts w:hint="eastAsia" w:ascii="宋体" w:hAnsi="宋体"/>
          <w:b/>
          <w:bCs/>
          <w:sz w:val="21"/>
          <w:szCs w:val="21"/>
        </w:rPr>
        <w:t>三、定标</w:t>
      </w:r>
    </w:p>
    <w:p>
      <w:pPr>
        <w:keepNext w:val="0"/>
        <w:keepLines w:val="0"/>
        <w:pageBreakBefore w:val="0"/>
        <w:kinsoku/>
        <w:wordWrap/>
        <w:overflowPunct/>
        <w:topLinePunct w:val="0"/>
        <w:autoSpaceDE w:val="0"/>
        <w:autoSpaceDN w:val="0"/>
        <w:bidi w:val="0"/>
        <w:adjustRightInd w:val="0"/>
        <w:spacing w:line="360" w:lineRule="exact"/>
        <w:ind w:firstLine="420" w:firstLineChars="200"/>
        <w:jc w:val="left"/>
        <w:textAlignment w:val="auto"/>
        <w:rPr>
          <w:rFonts w:hint="eastAsia" w:ascii="宋体" w:hAnsi="宋体"/>
          <w:sz w:val="21"/>
          <w:szCs w:val="21"/>
        </w:rPr>
      </w:pPr>
      <w:r>
        <w:rPr>
          <w:rFonts w:hint="eastAsia" w:ascii="宋体" w:hAnsi="宋体"/>
          <w:sz w:val="21"/>
          <w:szCs w:val="21"/>
        </w:rPr>
        <w:t>评标</w:t>
      </w:r>
      <w:r>
        <w:rPr>
          <w:rFonts w:hint="eastAsia" w:ascii="宋体" w:hAnsi="宋体"/>
          <w:sz w:val="21"/>
          <w:szCs w:val="21"/>
          <w:lang w:val="en-US" w:eastAsia="zh-CN"/>
        </w:rPr>
        <w:t>得</w:t>
      </w:r>
      <w:r>
        <w:rPr>
          <w:rFonts w:hint="eastAsia" w:ascii="宋体" w:hAnsi="宋体"/>
          <w:sz w:val="21"/>
          <w:szCs w:val="21"/>
        </w:rPr>
        <w:t>分最高者为第一中标候选人。若评标</w:t>
      </w:r>
      <w:r>
        <w:rPr>
          <w:rFonts w:hint="eastAsia" w:ascii="宋体" w:hAnsi="宋体"/>
          <w:sz w:val="21"/>
          <w:szCs w:val="21"/>
          <w:lang w:val="en-US" w:eastAsia="zh-CN"/>
        </w:rPr>
        <w:t>得</w:t>
      </w:r>
      <w:r>
        <w:rPr>
          <w:rFonts w:hint="eastAsia" w:ascii="宋体" w:hAnsi="宋体"/>
          <w:sz w:val="21"/>
          <w:szCs w:val="21"/>
        </w:rPr>
        <w:t>分相同，则选择其中投标报价低者为第一中标候选人；若评标</w:t>
      </w:r>
      <w:r>
        <w:rPr>
          <w:rFonts w:hint="eastAsia" w:ascii="宋体" w:hAnsi="宋体"/>
          <w:sz w:val="21"/>
          <w:szCs w:val="21"/>
          <w:lang w:val="en-US" w:eastAsia="zh-CN"/>
        </w:rPr>
        <w:t>得</w:t>
      </w:r>
      <w:r>
        <w:rPr>
          <w:rFonts w:hint="eastAsia" w:ascii="宋体" w:hAnsi="宋体"/>
          <w:sz w:val="21"/>
          <w:szCs w:val="21"/>
        </w:rPr>
        <w:t>分相同，投标报价也相同，当场按签到顺序抽签确定中标候选人。</w:t>
      </w:r>
    </w:p>
    <w:p>
      <w:pPr>
        <w:keepNext w:val="0"/>
        <w:keepLines w:val="0"/>
        <w:pageBreakBefore w:val="0"/>
        <w:kinsoku/>
        <w:wordWrap/>
        <w:overflowPunct/>
        <w:topLinePunct w:val="0"/>
        <w:autoSpaceDE w:val="0"/>
        <w:autoSpaceDN w:val="0"/>
        <w:bidi w:val="0"/>
        <w:adjustRightInd w:val="0"/>
        <w:spacing w:line="360" w:lineRule="exact"/>
        <w:jc w:val="left"/>
        <w:textAlignment w:val="auto"/>
        <w:rPr>
          <w:rFonts w:hint="eastAsia" w:ascii="宋体" w:hAnsi="宋体"/>
          <w:b/>
          <w:bCs/>
          <w:sz w:val="21"/>
          <w:szCs w:val="21"/>
        </w:rPr>
      </w:pPr>
      <w:r>
        <w:rPr>
          <w:rFonts w:hint="eastAsia" w:ascii="宋体" w:hAnsi="宋体"/>
          <w:b/>
          <w:bCs/>
          <w:sz w:val="21"/>
          <w:szCs w:val="21"/>
        </w:rPr>
        <w:t>注意事项：</w:t>
      </w:r>
    </w:p>
    <w:p>
      <w:pPr>
        <w:keepNext w:val="0"/>
        <w:keepLines w:val="0"/>
        <w:pageBreakBefore w:val="0"/>
        <w:kinsoku/>
        <w:wordWrap/>
        <w:overflowPunct/>
        <w:topLinePunct w:val="0"/>
        <w:autoSpaceDE w:val="0"/>
        <w:autoSpaceDN w:val="0"/>
        <w:bidi w:val="0"/>
        <w:adjustRightInd w:val="0"/>
        <w:spacing w:line="360" w:lineRule="exact"/>
        <w:ind w:firstLine="420" w:firstLineChars="200"/>
        <w:jc w:val="left"/>
        <w:textAlignment w:val="auto"/>
        <w:rPr>
          <w:rFonts w:hint="eastAsia" w:ascii="宋体" w:hAnsi="宋体"/>
          <w:sz w:val="21"/>
          <w:szCs w:val="21"/>
        </w:rPr>
      </w:pPr>
      <w:r>
        <w:rPr>
          <w:rFonts w:hint="eastAsia" w:ascii="宋体" w:hAnsi="宋体"/>
          <w:sz w:val="21"/>
          <w:szCs w:val="21"/>
        </w:rPr>
        <w:t>1</w:t>
      </w:r>
      <w:r>
        <w:rPr>
          <w:rFonts w:hint="eastAsia" w:ascii="宋体" w:hAnsi="宋体"/>
          <w:sz w:val="21"/>
          <w:szCs w:val="21"/>
          <w:lang w:eastAsia="zh-CN"/>
        </w:rPr>
        <w:t>.</w:t>
      </w:r>
      <w:r>
        <w:rPr>
          <w:rFonts w:hint="eastAsia" w:ascii="宋体" w:hAnsi="宋体"/>
          <w:sz w:val="21"/>
          <w:szCs w:val="21"/>
        </w:rPr>
        <w:t>一旦发现中标单位存在非法转包、转让、挂靠等行为的，将依法进行处理，给招标人造成损失的，依法承担赔偿责任。</w:t>
      </w:r>
    </w:p>
    <w:p>
      <w:pPr>
        <w:keepNext w:val="0"/>
        <w:keepLines w:val="0"/>
        <w:pageBreakBefore w:val="0"/>
        <w:kinsoku/>
        <w:wordWrap/>
        <w:overflowPunct/>
        <w:topLinePunct w:val="0"/>
        <w:bidi w:val="0"/>
        <w:adjustRightInd w:val="0"/>
        <w:snapToGrid w:val="0"/>
        <w:spacing w:line="360" w:lineRule="exact"/>
        <w:ind w:firstLine="420" w:firstLineChars="200"/>
        <w:textAlignment w:val="auto"/>
        <w:rPr>
          <w:rFonts w:hint="eastAsia" w:ascii="宋体" w:hAnsi="宋体"/>
          <w:b/>
          <w:sz w:val="21"/>
          <w:szCs w:val="21"/>
        </w:rPr>
      </w:pPr>
      <w:r>
        <w:rPr>
          <w:rFonts w:hint="eastAsia" w:ascii="宋体" w:hAnsi="宋体"/>
          <w:sz w:val="21"/>
          <w:szCs w:val="21"/>
        </w:rPr>
        <w:t>2</w:t>
      </w:r>
      <w:r>
        <w:rPr>
          <w:rFonts w:hint="eastAsia" w:ascii="宋体" w:hAnsi="宋体"/>
          <w:sz w:val="21"/>
          <w:szCs w:val="21"/>
          <w:lang w:eastAsia="zh-CN"/>
        </w:rPr>
        <w:t>.</w:t>
      </w:r>
      <w:r>
        <w:rPr>
          <w:rFonts w:hint="eastAsia" w:ascii="宋体" w:hAnsi="宋体"/>
          <w:sz w:val="21"/>
          <w:szCs w:val="21"/>
        </w:rPr>
        <w:t>本工程招标公告中的评标办法与招标文件中的评标办法不一致时，以招标公告中的评标办法为准。</w:t>
      </w:r>
      <w:bookmarkEnd w:id="0"/>
    </w:p>
    <w:p>
      <w:bookmarkStart w:id="1" w:name="_GoBack"/>
      <w:bookmarkEnd w:id="1"/>
    </w:p>
    <w:sectPr>
      <w:pgSz w:w="11906" w:h="16838"/>
      <w:pgMar w:top="567" w:right="1134" w:bottom="567" w:left="1134" w:header="0"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lNDUxYTNiY2Y4ZTk2OTEyMTQ3NTdiZmY1MjcxZDkifQ=="/>
  </w:docVars>
  <w:rsids>
    <w:rsidRoot w:val="5C471C20"/>
    <w:rsid w:val="5C471C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ind w:firstLine="4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2024-07-22T08:33:00Z</dcterms:created>
  <dc:creator>Minna</dc:creator>
  <cp:lastModifiedBy>Minna</cp:lastModifiedBy>
  <dcterms:modified xsi:type="dcterms:W3CDTF">2024-07-22T08:34:12Z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FBADFC9CD0294D3288A5C3557B0CA591_11</vt:lpwstr>
  </property>
</Properties>
</file>